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b/>
          <w:sz w:val="30"/>
          <w:szCs w:val="30"/>
        </w:rPr>
      </w:pPr>
      <w:r>
        <w:rPr>
          <w:rFonts w:hint="eastAsia"/>
          <w:b/>
          <w:sz w:val="30"/>
          <w:szCs w:val="30"/>
        </w:rPr>
        <w:t>基于</w:t>
      </w:r>
      <w:bookmarkStart w:id="0" w:name="_Hlk517557686"/>
      <w:r>
        <w:rPr>
          <w:rFonts w:hint="eastAsia"/>
          <w:b/>
          <w:sz w:val="30"/>
          <w:szCs w:val="30"/>
        </w:rPr>
        <w:t>化学学科核心素养</w:t>
      </w:r>
      <w:bookmarkStart w:id="8" w:name="_GoBack"/>
      <w:bookmarkEnd w:id="8"/>
      <w:r>
        <w:rPr>
          <w:rFonts w:hint="eastAsia"/>
          <w:b/>
          <w:sz w:val="30"/>
          <w:szCs w:val="30"/>
        </w:rPr>
        <w:t>理念下的校本课程开发</w:t>
      </w:r>
      <w:bookmarkEnd w:id="0"/>
    </w:p>
    <w:p>
      <w:pPr>
        <w:adjustRightInd w:val="0"/>
        <w:snapToGrid w:val="0"/>
        <w:spacing w:line="264" w:lineRule="auto"/>
        <w:jc w:val="center"/>
        <w:rPr>
          <w:b/>
          <w:szCs w:val="21"/>
        </w:rPr>
      </w:pPr>
      <w:r>
        <w:rPr>
          <w:b/>
          <w:szCs w:val="21"/>
        </w:rPr>
        <w:t xml:space="preserve">          ——</w:t>
      </w:r>
      <w:r>
        <w:rPr>
          <w:rFonts w:hint="eastAsia"/>
          <w:b/>
          <w:szCs w:val="21"/>
        </w:rPr>
        <w:t>《实验化学之“美丽的晶体”》校本课程的实施与教学反思</w:t>
      </w:r>
    </w:p>
    <w:p>
      <w:pPr>
        <w:adjustRightInd w:val="0"/>
        <w:snapToGrid w:val="0"/>
        <w:spacing w:line="264" w:lineRule="auto"/>
        <w:jc w:val="center"/>
        <w:rPr>
          <w:rFonts w:ascii="宋体" w:hAnsi="宋体"/>
          <w:sz w:val="24"/>
        </w:rPr>
      </w:pPr>
      <w:r>
        <w:rPr>
          <w:rFonts w:hint="eastAsia" w:ascii="宋体" w:hAnsi="宋体"/>
          <w:sz w:val="24"/>
        </w:rPr>
        <w:t>永定一中  陈艳梅</w:t>
      </w:r>
    </w:p>
    <w:p>
      <w:pPr>
        <w:adjustRightInd w:val="0"/>
        <w:snapToGrid w:val="0"/>
        <w:spacing w:line="264" w:lineRule="auto"/>
        <w:rPr>
          <w:rFonts w:hint="eastAsia" w:ascii="楷体_GB2312" w:eastAsia="楷体_GB2312"/>
          <w:sz w:val="24"/>
        </w:rPr>
      </w:pPr>
      <w:r>
        <w:rPr>
          <w:rFonts w:hint="eastAsia" w:ascii="楷体_GB2312" w:eastAsia="楷体_GB2312"/>
          <w:b/>
          <w:sz w:val="24"/>
        </w:rPr>
        <w:t>摘要：</w:t>
      </w:r>
      <w:r>
        <w:rPr>
          <w:rFonts w:hint="eastAsia" w:ascii="楷体_GB2312" w:eastAsia="楷体_GB2312"/>
          <w:sz w:val="24"/>
        </w:rPr>
        <w:t>随着社会经济的发展和综合国力的增强，国家对具有高度科学文化素养和人文素养的人的需求越来越迫切。而国家课程的统一性和基础性，不可能完全实现培养具有高度科学文化素养和人文素养的人的目标以及学生个性化发展的需求。基于此，如何充分利用学校和社会资源，开发适合学生全面发展需求的校本课程，切实提高学生科学素养，成为校本课程建设的必然要求。本文通过对化学校本课程的实施及反思，讨论在化学学科核心素养理念下的校本课程开发和实施的必要性和注意点。</w:t>
      </w:r>
    </w:p>
    <w:p>
      <w:pPr>
        <w:adjustRightInd w:val="0"/>
        <w:snapToGrid w:val="0"/>
        <w:spacing w:line="264" w:lineRule="auto"/>
        <w:rPr>
          <w:rFonts w:hint="eastAsia" w:ascii="楷体_GB2312" w:eastAsia="楷体_GB2312"/>
          <w:sz w:val="24"/>
        </w:rPr>
      </w:pPr>
      <w:r>
        <w:rPr>
          <w:rFonts w:hint="eastAsia" w:ascii="楷体_GB2312" w:eastAsia="楷体_GB2312"/>
          <w:b/>
          <w:sz w:val="24"/>
        </w:rPr>
        <w:t>关键词：</w:t>
      </w:r>
      <w:r>
        <w:rPr>
          <w:rFonts w:hint="eastAsia" w:ascii="楷体_GB2312" w:eastAsia="楷体_GB2312"/>
          <w:sz w:val="24"/>
        </w:rPr>
        <w:t>化学学科核心素养校本课程实验化学</w:t>
      </w:r>
    </w:p>
    <w:p>
      <w:pPr>
        <w:adjustRightInd w:val="0"/>
        <w:snapToGrid w:val="0"/>
        <w:spacing w:line="264" w:lineRule="auto"/>
        <w:ind w:firstLine="480" w:firstLineChars="200"/>
        <w:rPr>
          <w:sz w:val="24"/>
        </w:rPr>
      </w:pPr>
      <w:r>
        <w:rPr>
          <w:rFonts w:hint="eastAsia"/>
          <w:sz w:val="24"/>
        </w:rPr>
        <w:t>化学学科核心素养包括“科学探究与创新意识”“科学态度与社会责任”等</w:t>
      </w:r>
      <w:r>
        <w:rPr>
          <w:sz w:val="24"/>
        </w:rPr>
        <w:t>5</w:t>
      </w:r>
      <w:r>
        <w:rPr>
          <w:rFonts w:hint="eastAsia"/>
          <w:sz w:val="24"/>
        </w:rPr>
        <w:t>个方面。高中化学学科核心素养是学生发展科学文化素养和人文素养的重要组成部分。《普通高中化学课程标准》根据化学学科核心素养对高中生发展提出的其中一个目标是：“</w:t>
      </w:r>
      <w:r>
        <w:rPr>
          <w:rFonts w:hint="eastAsia"/>
          <w:kern w:val="0"/>
          <w:sz w:val="24"/>
        </w:rPr>
        <w:t>能发现和提出有探究价值的化学问题，能依据探究目的设计并优化实验方案，完成实验操作，能对观察记录的实验信息进行加工并获得结论；能和同学交流实验探究的成果，提出进一步探究或改进的设想；能尊重事实和证据，不迷信权威，养成独立思考、敢于质疑、勇于创新的精神。</w:t>
      </w:r>
      <w:r>
        <w:rPr>
          <w:rFonts w:hint="eastAsia"/>
          <w:sz w:val="24"/>
        </w:rPr>
        <w:t>”</w:t>
      </w:r>
      <w:r>
        <w:rPr>
          <w:sz w:val="24"/>
          <w:vertAlign w:val="superscript"/>
        </w:rPr>
        <w:fldChar w:fldCharType="begin"/>
      </w:r>
      <w:r>
        <w:rPr>
          <w:sz w:val="24"/>
          <w:vertAlign w:val="superscript"/>
        </w:rPr>
        <w:instrText xml:space="preserve">REF _Ref517678895 \r \h \* MERGEFORMAT </w:instrText>
      </w:r>
      <w:r>
        <w:rPr>
          <w:sz w:val="24"/>
          <w:vertAlign w:val="superscript"/>
        </w:rPr>
        <w:fldChar w:fldCharType="separate"/>
      </w:r>
      <w:r>
        <w:rPr>
          <w:sz w:val="24"/>
          <w:vertAlign w:val="superscript"/>
        </w:rPr>
        <w:t xml:space="preserve">[1] </w:t>
      </w:r>
      <w:r>
        <w:rPr>
          <w:sz w:val="24"/>
          <w:vertAlign w:val="superscript"/>
        </w:rPr>
        <w:fldChar w:fldCharType="end"/>
      </w:r>
      <w:r>
        <w:rPr>
          <w:rFonts w:hint="eastAsia"/>
          <w:sz w:val="24"/>
        </w:rPr>
        <w:t>而《</w:t>
      </w:r>
      <w:bookmarkStart w:id="1" w:name="_Hlk517595630"/>
      <w:r>
        <w:rPr>
          <w:rFonts w:hint="eastAsia"/>
          <w:sz w:val="24"/>
        </w:rPr>
        <w:t>基础教育</w:t>
      </w:r>
      <w:bookmarkEnd w:id="1"/>
      <w:r>
        <w:rPr>
          <w:rFonts w:hint="eastAsia"/>
          <w:sz w:val="24"/>
        </w:rPr>
        <w:t>课程改革纲要》也明确指出：“学校在执行国家课程及地方课程的同时，应根据当地社会及经济发展的具体情况，结合本校的传统和优势及学生的需要和兴趣，选用或开发适合本校的课程”。在国家课程方案中也明确规定：“赋予学校合理而充分的课程自主权，为学校创造性地实施国家课程、因地制宜地开发学校课程，为学生有效选择课程提供保障。”</w:t>
      </w:r>
      <w:r>
        <w:rPr>
          <w:sz w:val="24"/>
          <w:vertAlign w:val="superscript"/>
        </w:rPr>
        <w:fldChar w:fldCharType="begin"/>
      </w:r>
      <w:r>
        <w:rPr>
          <w:sz w:val="24"/>
          <w:vertAlign w:val="superscript"/>
        </w:rPr>
        <w:instrText xml:space="preserve"> REF _Ref517678922 \r \h  \* MERGEFORMAT </w:instrText>
      </w:r>
      <w:r>
        <w:rPr>
          <w:sz w:val="24"/>
          <w:vertAlign w:val="superscript"/>
        </w:rPr>
        <w:fldChar w:fldCharType="separate"/>
      </w:r>
      <w:r>
        <w:rPr>
          <w:sz w:val="24"/>
          <w:vertAlign w:val="superscript"/>
        </w:rPr>
        <w:t xml:space="preserve">[2] </w:t>
      </w:r>
      <w:r>
        <w:rPr>
          <w:sz w:val="24"/>
          <w:vertAlign w:val="superscript"/>
        </w:rPr>
        <w:fldChar w:fldCharType="end"/>
      </w:r>
      <w:r>
        <w:rPr>
          <w:rFonts w:hint="eastAsia"/>
          <w:sz w:val="24"/>
        </w:rPr>
        <w:t>基于此，笔者以《基础教育课程改革纲要》和《普通高中化学课程标准》为指导，结合本校（福建省永定第一中学，省级示范校，）课程改革实际，并且本着充分发挥学生的主动性和充分发掘学生的个性潜能，让学生学会交流、学会探究、学会合作，进而促进学生个性全面、和谐地发展的目的，努力构建具有特色的校本课程。</w:t>
      </w:r>
    </w:p>
    <w:p>
      <w:pPr>
        <w:adjustRightInd w:val="0"/>
        <w:snapToGrid w:val="0"/>
        <w:spacing w:line="264" w:lineRule="auto"/>
        <w:rPr>
          <w:b/>
          <w:sz w:val="24"/>
        </w:rPr>
      </w:pPr>
      <w:r>
        <w:rPr>
          <w:rFonts w:hint="eastAsia"/>
          <w:b/>
          <w:sz w:val="24"/>
        </w:rPr>
        <w:t>一、校本课程的实施过程</w:t>
      </w:r>
    </w:p>
    <w:p>
      <w:pPr>
        <w:adjustRightInd w:val="0"/>
        <w:snapToGrid w:val="0"/>
        <w:spacing w:line="264" w:lineRule="auto"/>
        <w:ind w:firstLine="480" w:firstLineChars="200"/>
        <w:rPr>
          <w:sz w:val="24"/>
        </w:rPr>
      </w:pPr>
      <w:r>
        <w:rPr>
          <w:rFonts w:hint="eastAsia"/>
          <w:sz w:val="24"/>
        </w:rPr>
        <w:t>本课程名为“实验化学之美丽的晶体”，课程对象是高一下学期的学生。课程通过利用初中溶解度的相关知识，结合高一现学的物质分离与提纯的相关知识与操作，以实验为手段，让学生制备几种常见的大晶体，以期实现培养学生的科学志趣及实验动手能力，使学生受到科学的自然观、科学态度的教育的目的。另外课程中涉及的晶体的相关知识还能为学生高二阶段《物质的结构与性质》选修模块的学习做铺垫。</w:t>
      </w:r>
    </w:p>
    <w:p>
      <w:pPr>
        <w:adjustRightInd w:val="0"/>
        <w:snapToGrid w:val="0"/>
        <w:spacing w:line="264" w:lineRule="auto"/>
        <w:ind w:firstLine="480" w:firstLineChars="200"/>
        <w:rPr>
          <w:sz w:val="24"/>
        </w:rPr>
      </w:pPr>
      <w:r>
        <w:rPr>
          <w:rFonts w:hint="eastAsia"/>
          <w:sz w:val="24"/>
        </w:rPr>
        <w:t>课程开展和实施的具体方法有：文献研究法、实验探索与观察法、经验总结法。</w:t>
      </w:r>
    </w:p>
    <w:p>
      <w:pPr>
        <w:adjustRightInd w:val="0"/>
        <w:snapToGrid w:val="0"/>
        <w:spacing w:line="264" w:lineRule="auto"/>
        <w:ind w:firstLine="480" w:firstLineChars="200"/>
        <w:rPr>
          <w:sz w:val="24"/>
        </w:rPr>
      </w:pPr>
      <w:r>
        <w:rPr>
          <w:rFonts w:hint="eastAsia"/>
          <w:sz w:val="24"/>
        </w:rPr>
        <w:t>（</w:t>
      </w:r>
      <w:r>
        <w:rPr>
          <w:sz w:val="24"/>
        </w:rPr>
        <w:t>1</w:t>
      </w:r>
      <w:r>
        <w:rPr>
          <w:rFonts w:hint="eastAsia"/>
          <w:sz w:val="24"/>
        </w:rPr>
        <w:t>）文献研究法：选择化学实验校本课程的学生很多，学生对化学实验有很大的兴趣，但对如何进行实验条件的选择与控制、如何通过化学实验进行物质制备和研究知之甚少。因此在确认制备的晶体类型后，我们发动一切可利用的资源，让学生以小组为单位，收集并归纳每种晶体制备所需的药品和实验条件。例如，学生通过文献调查发现控制以下条件（表</w:t>
      </w:r>
      <w:r>
        <w:rPr>
          <w:sz w:val="24"/>
        </w:rPr>
        <w:t>1</w:t>
      </w:r>
      <w:r>
        <w:rPr>
          <w:rFonts w:hint="eastAsia"/>
          <w:sz w:val="24"/>
        </w:rPr>
        <w:t>）制备硫酸铜大晶体最有效</w:t>
      </w:r>
      <w:r>
        <w:rPr>
          <w:sz w:val="24"/>
          <w:vertAlign w:val="superscript"/>
        </w:rPr>
        <w:fldChar w:fldCharType="begin"/>
      </w:r>
      <w:r>
        <w:rPr>
          <w:sz w:val="24"/>
          <w:vertAlign w:val="superscript"/>
        </w:rPr>
        <w:instrText xml:space="preserve"> REF _Ref517678975 \r \h  \* MERGEFORMAT </w:instrText>
      </w:r>
      <w:r>
        <w:rPr>
          <w:sz w:val="24"/>
          <w:vertAlign w:val="superscript"/>
        </w:rPr>
        <w:fldChar w:fldCharType="separate"/>
      </w:r>
      <w:r>
        <w:rPr>
          <w:sz w:val="24"/>
          <w:vertAlign w:val="superscript"/>
        </w:rPr>
        <w:t xml:space="preserve">[3] </w:t>
      </w:r>
      <w:r>
        <w:rPr>
          <w:sz w:val="24"/>
          <w:vertAlign w:val="superscript"/>
        </w:rPr>
        <w:fldChar w:fldCharType="end"/>
      </w:r>
      <w:r>
        <w:rPr>
          <w:sz w:val="24"/>
          <w:vertAlign w:val="superscript"/>
        </w:rPr>
        <w:fldChar w:fldCharType="begin"/>
      </w:r>
      <w:r>
        <w:rPr>
          <w:sz w:val="24"/>
          <w:vertAlign w:val="superscript"/>
        </w:rPr>
        <w:instrText xml:space="preserve"> REF _Ref517678979 \r \h  \* MERGEFORMAT </w:instrText>
      </w:r>
      <w:r>
        <w:rPr>
          <w:sz w:val="24"/>
          <w:vertAlign w:val="superscript"/>
        </w:rPr>
        <w:fldChar w:fldCharType="separate"/>
      </w:r>
      <w:r>
        <w:rPr>
          <w:sz w:val="24"/>
          <w:vertAlign w:val="superscript"/>
        </w:rPr>
        <w:t xml:space="preserve">[4] </w:t>
      </w:r>
      <w:r>
        <w:rPr>
          <w:sz w:val="24"/>
          <w:vertAlign w:val="superscript"/>
        </w:rPr>
        <w:fldChar w:fldCharType="end"/>
      </w:r>
      <w:r>
        <w:rPr>
          <w:rFonts w:hint="eastAsia"/>
          <w:sz w:val="24"/>
        </w:rPr>
        <w:t>：</w:t>
      </w:r>
    </w:p>
    <w:p>
      <w:pPr>
        <w:pStyle w:val="4"/>
        <w:adjustRightInd w:val="0"/>
        <w:snapToGrid w:val="0"/>
        <w:spacing w:line="264" w:lineRule="auto"/>
        <w:ind w:firstLine="0" w:firstLineChars="0"/>
        <w:jc w:val="center"/>
        <w:rPr>
          <w:rFonts w:ascii="Times New Roman" w:hAnsi="Times New Roman" w:eastAsia="宋体"/>
          <w:sz w:val="24"/>
          <w:szCs w:val="24"/>
        </w:rPr>
      </w:pPr>
      <w:r>
        <w:rPr>
          <w:rFonts w:hint="eastAsia" w:ascii="Times New Roman" w:hAnsi="Times New Roman" w:eastAsia="宋体"/>
          <w:sz w:val="24"/>
          <w:szCs w:val="24"/>
        </w:rPr>
        <w:t>表</w:t>
      </w:r>
      <w:r>
        <w:rPr>
          <w:rFonts w:ascii="Times New Roman" w:hAnsi="Times New Roman" w:eastAsia="宋体"/>
          <w:sz w:val="24"/>
          <w:szCs w:val="24"/>
        </w:rPr>
        <w:t>1</w:t>
      </w:r>
      <w:r>
        <w:rPr>
          <w:rFonts w:hint="eastAsia" w:ascii="Times New Roman" w:hAnsi="Times New Roman" w:eastAsia="宋体"/>
          <w:sz w:val="24"/>
          <w:szCs w:val="24"/>
        </w:rPr>
        <w:t>：硫酸铜大晶体制备条件</w:t>
      </w:r>
    </w:p>
    <w:tbl>
      <w:tblPr>
        <w:tblStyle w:val="2"/>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758"/>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条件</w:t>
            </w:r>
          </w:p>
        </w:tc>
        <w:tc>
          <w:tcPr>
            <w:tcW w:w="17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数据</w:t>
            </w:r>
          </w:p>
        </w:tc>
        <w:tc>
          <w:tcPr>
            <w:tcW w:w="55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结晶情况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加入硫酸铜的质量</w:t>
            </w:r>
          </w:p>
        </w:tc>
        <w:tc>
          <w:tcPr>
            <w:tcW w:w="17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sz w:val="24"/>
              </w:rPr>
              <w:t>55g/100g</w:t>
            </w:r>
            <w:r>
              <w:rPr>
                <w:rFonts w:hint="eastAsia"/>
                <w:sz w:val="24"/>
              </w:rPr>
              <w:t>水</w:t>
            </w:r>
          </w:p>
          <w:p>
            <w:pPr>
              <w:adjustRightInd w:val="0"/>
              <w:snapToGrid w:val="0"/>
              <w:spacing w:line="264" w:lineRule="auto"/>
              <w:jc w:val="center"/>
              <w:rPr>
                <w:sz w:val="24"/>
              </w:rPr>
            </w:pPr>
            <w:r>
              <w:rPr>
                <w:sz w:val="24"/>
              </w:rPr>
              <w:t>(</w:t>
            </w:r>
            <w:r>
              <w:rPr>
                <w:rFonts w:hint="eastAsia"/>
                <w:sz w:val="24"/>
              </w:rPr>
              <w:t>室温</w:t>
            </w:r>
            <w:r>
              <w:rPr>
                <w:sz w:val="24"/>
              </w:rPr>
              <w:t>25</w:t>
            </w:r>
            <w:r>
              <w:rPr>
                <w:rFonts w:hint="eastAsia" w:ascii="宋体" w:hAnsi="宋体" w:cs="宋体"/>
                <w:sz w:val="24"/>
              </w:rPr>
              <w:t>℃</w:t>
            </w:r>
            <w:r>
              <w:rPr>
                <w:sz w:val="24"/>
              </w:rPr>
              <w:t>)</w:t>
            </w:r>
          </w:p>
        </w:tc>
        <w:tc>
          <w:tcPr>
            <w:tcW w:w="55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sz w:val="24"/>
              </w:rPr>
            </w:pPr>
            <w:r>
              <w:rPr>
                <w:rFonts w:hint="eastAsia"/>
                <w:sz w:val="24"/>
              </w:rPr>
              <w:t>溶液蓝色，约一天后开始析出晶体。颗粒大，外形规则，数量较多，不粘结。可作晶种或由其继续长大至大型晶体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晶种类型</w:t>
            </w:r>
          </w:p>
        </w:tc>
        <w:tc>
          <w:tcPr>
            <w:tcW w:w="17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sz w:val="24"/>
              </w:rPr>
              <w:t>CuSO</w:t>
            </w:r>
            <w:r>
              <w:rPr>
                <w:sz w:val="24"/>
                <w:vertAlign w:val="subscript"/>
              </w:rPr>
              <w:t>4</w:t>
            </w:r>
            <w:r>
              <w:rPr>
                <w:rFonts w:hint="eastAsia"/>
                <w:sz w:val="24"/>
              </w:rPr>
              <w:t>小晶体</w:t>
            </w:r>
          </w:p>
        </w:tc>
        <w:tc>
          <w:tcPr>
            <w:tcW w:w="55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sz w:val="24"/>
              </w:rPr>
            </w:pPr>
            <w:r>
              <w:rPr>
                <w:rFonts w:hint="eastAsia"/>
                <w:sz w:val="24"/>
              </w:rPr>
              <w:t>在原来的规则晶体基础上继续生长，外形佳，为单个晶体，几天后在烧杯底部也有少量晶体析出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sz w:val="24"/>
              </w:rPr>
              <w:t>pH</w:t>
            </w:r>
            <w:r>
              <w:rPr>
                <w:rFonts w:hint="eastAsia"/>
                <w:sz w:val="24"/>
              </w:rPr>
              <w:t>值</w:t>
            </w:r>
          </w:p>
        </w:tc>
        <w:tc>
          <w:tcPr>
            <w:tcW w:w="17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sz w:val="24"/>
              </w:rPr>
              <w:t>pH=2</w:t>
            </w:r>
            <w:r>
              <w:rPr>
                <w:rFonts w:hint="eastAsia"/>
                <w:sz w:val="24"/>
              </w:rPr>
              <w:t>左右</w:t>
            </w:r>
          </w:p>
        </w:tc>
        <w:tc>
          <w:tcPr>
            <w:tcW w:w="55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sz w:val="24"/>
              </w:rPr>
            </w:pPr>
            <w:r>
              <w:rPr>
                <w:rFonts w:hint="eastAsia"/>
                <w:sz w:val="24"/>
              </w:rPr>
              <w:t>晶型好，产量较高，晶体为蓝色，较致密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温度控制</w:t>
            </w:r>
          </w:p>
        </w:tc>
        <w:tc>
          <w:tcPr>
            <w:tcW w:w="175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center"/>
              <w:rPr>
                <w:sz w:val="24"/>
              </w:rPr>
            </w:pPr>
            <w:r>
              <w:rPr>
                <w:rFonts w:hint="eastAsia"/>
                <w:sz w:val="24"/>
              </w:rPr>
              <w:t>水浴加热（</w:t>
            </w:r>
            <w:r>
              <w:rPr>
                <w:sz w:val="24"/>
              </w:rPr>
              <w:t>35</w:t>
            </w:r>
            <w:r>
              <w:rPr>
                <w:rFonts w:hint="eastAsia" w:ascii="宋体" w:hAnsi="宋体" w:cs="宋体"/>
                <w:sz w:val="24"/>
              </w:rPr>
              <w:t>℃</w:t>
            </w:r>
            <w:r>
              <w:rPr>
                <w:rFonts w:hint="eastAsia"/>
                <w:sz w:val="24"/>
              </w:rPr>
              <w:t>）后冷却</w:t>
            </w:r>
          </w:p>
        </w:tc>
        <w:tc>
          <w:tcPr>
            <w:tcW w:w="55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64" w:lineRule="auto"/>
              <w:jc w:val="left"/>
              <w:rPr>
                <w:sz w:val="24"/>
              </w:rPr>
            </w:pPr>
            <w:r>
              <w:rPr>
                <w:rFonts w:hint="eastAsia"/>
                <w:sz w:val="24"/>
              </w:rPr>
              <w:t>晶体较多，晶型完整</w:t>
            </w:r>
          </w:p>
        </w:tc>
      </w:tr>
    </w:tbl>
    <w:p>
      <w:pPr>
        <w:adjustRightInd w:val="0"/>
        <w:snapToGrid w:val="0"/>
        <w:spacing w:line="264" w:lineRule="auto"/>
        <w:ind w:firstLine="480" w:firstLineChars="200"/>
        <w:rPr>
          <w:sz w:val="24"/>
        </w:rPr>
      </w:pPr>
      <w:r>
        <w:rPr>
          <w:rFonts w:hint="eastAsia"/>
          <w:sz w:val="24"/>
        </w:rPr>
        <w:t>（</w:t>
      </w:r>
      <w:r>
        <w:rPr>
          <w:sz w:val="24"/>
        </w:rPr>
        <w:t>2</w:t>
      </w:r>
      <w:r>
        <w:rPr>
          <w:rFonts w:hint="eastAsia"/>
          <w:sz w:val="24"/>
        </w:rPr>
        <w:t>）实验探索与观察法：实际实验条件与环境千变万化，不同人即使在同一条件做同一实验，现象也可能不同，有时即使参照文献数据进行实验，也并不能得到预想的结果。这时就要求教师有目的、有计划地引导学生运用化学科学思维方式和方法进行实验探究，通过实验观察与对比，引导学生发现问题，并基于真实情境思考问题该如何解决，使学生在解决问题的活动中逐步发展化学学科核心素养。例如，在制备明矾大晶体时，有几个小组很难得到颗粒大，外形规则，不粘结的明矾晶种，而另几个小组却比较成功地得到了明矾晶种，但晶种也呈现了不同的形状：三角形、六边形、正八面体形。后来通过实验观察、记录、对比发现：无法得到晶种的小组实验温度过高，药品用量过多，造成溶液过饱和度太大。另外为什么明矾晶体会有三种不同的形状，这是宏观条件和现象无法解释的，需要学生课后再通过文献调查了解。</w:t>
      </w:r>
    </w:p>
    <w:p>
      <w:pPr>
        <w:adjustRightInd w:val="0"/>
        <w:snapToGrid w:val="0"/>
        <w:spacing w:line="264" w:lineRule="auto"/>
        <w:ind w:firstLine="480" w:firstLineChars="200"/>
        <w:rPr>
          <w:sz w:val="24"/>
        </w:rPr>
      </w:pPr>
      <w:r>
        <w:rPr>
          <w:rFonts w:hint="eastAsia"/>
          <w:sz w:val="24"/>
        </w:rPr>
        <w:t>（</w:t>
      </w:r>
      <w:r>
        <w:rPr>
          <w:sz w:val="24"/>
        </w:rPr>
        <w:t>3</w:t>
      </w:r>
      <w:r>
        <w:rPr>
          <w:rFonts w:hint="eastAsia"/>
          <w:sz w:val="24"/>
        </w:rPr>
        <w:t>）经验总结法：本课堂教学过程中，考虑到学生平常动手实验的机会较少，因此在每次制备新的晶体类型之前，教师都先进行实验前讲解，然后边演示指导，最后再让学生进行分组实验。这样使得课堂既不会混乱而漫无目的，又极大地调动了学生的积极性，让每个学生都参与到课堂活动中来。同时每一个实验模块结束，学生都可以将自己的实验成品带回去，作为课程留念。学期末课程结束，我们采取比较开放的考核方式，让学生交一篇和课堂内容主题相关的小论文，我们根据反学生的反馈进行反思和总结。</w:t>
      </w:r>
    </w:p>
    <w:p>
      <w:pPr>
        <w:adjustRightInd w:val="0"/>
        <w:snapToGrid w:val="0"/>
        <w:spacing w:line="264" w:lineRule="auto"/>
        <w:rPr>
          <w:b/>
          <w:sz w:val="24"/>
        </w:rPr>
      </w:pPr>
      <w:r>
        <w:rPr>
          <w:rFonts w:hint="eastAsia"/>
          <w:b/>
          <w:sz w:val="24"/>
        </w:rPr>
        <w:t>二、校本课程实施的初步成效</w:t>
      </w:r>
    </w:p>
    <w:p>
      <w:pPr>
        <w:adjustRightInd w:val="0"/>
        <w:snapToGrid w:val="0"/>
        <w:spacing w:line="264" w:lineRule="auto"/>
        <w:ind w:firstLine="435"/>
        <w:rPr>
          <w:sz w:val="24"/>
        </w:rPr>
      </w:pPr>
      <w:r>
        <w:rPr>
          <w:sz w:val="24"/>
        </w:rPr>
        <w:t>1</w:t>
      </w:r>
      <w:r>
        <w:rPr>
          <w:rFonts w:hint="eastAsia"/>
          <w:sz w:val="24"/>
        </w:rPr>
        <w:t>、《化学课程标准》提出化学学科素养之一就是培养“科学探究与创新意识”。而该校本课程的实施，正是通过设计简单的实验方案，同学合作完成实验操作，运用多种方式收集实验证据，并对实验中的“异常现象”和已有结论能进行反思、提出质疑和新的实验设想，并进一步付诸实施，实现对学生“科学探究与创新意识”科学素养的培养。</w:t>
      </w:r>
    </w:p>
    <w:p>
      <w:pPr>
        <w:adjustRightInd w:val="0"/>
        <w:snapToGrid w:val="0"/>
        <w:spacing w:line="264" w:lineRule="auto"/>
        <w:ind w:firstLine="435"/>
        <w:rPr>
          <w:sz w:val="24"/>
        </w:rPr>
      </w:pPr>
      <w:r>
        <w:rPr>
          <w:sz w:val="24"/>
        </w:rPr>
        <w:t>2</w:t>
      </w:r>
      <w:r>
        <w:rPr>
          <w:rFonts w:hint="eastAsia"/>
          <w:sz w:val="24"/>
        </w:rPr>
        <w:t>、所谓具有高度科学文化素养和人文素养的人，必须具备两个条件：一是要掌握基本的学习工具，即阅读、书写、口头表达、计算和问题解决；二是要具备基本的知识、技能，以及正确的价值观和态度。通过该校本课程的开设既能培养学生的实验动手能力、小组合作精神、阅读和书写能力，还能增强学生的学习成就感，使学生受到科学的自然观、科学态度的教育。课程开设对提高学生综合素质有十分重要的意义。</w:t>
      </w:r>
    </w:p>
    <w:p>
      <w:pPr>
        <w:adjustRightInd w:val="0"/>
        <w:snapToGrid w:val="0"/>
        <w:spacing w:line="264" w:lineRule="auto"/>
        <w:ind w:firstLine="435"/>
        <w:rPr>
          <w:sz w:val="24"/>
        </w:rPr>
      </w:pPr>
      <w:r>
        <w:rPr>
          <w:sz w:val="24"/>
        </w:rPr>
        <w:t>3</w:t>
      </w:r>
      <w:r>
        <w:rPr>
          <w:rFonts w:hint="eastAsia"/>
          <w:sz w:val="24"/>
        </w:rPr>
        <w:t>、教师是课程改革的主力和关键，没有教师的专业化发展就没有课程的发展，也就没有学生的发展。校本课程开发只是一种手段，教师的专业化发展才是真正的目的。在校本课程开发和实施过程中，学校给予了极大的信任和支持，也为教师的发展创造了广阔的平台。通过本次校本课程的开发、设计、实施、评价，自己的专业水平有了进一步提高，同时也明确了自己今后应该努力提高和发展的方向。</w:t>
      </w:r>
    </w:p>
    <w:p>
      <w:pPr>
        <w:adjustRightInd w:val="0"/>
        <w:snapToGrid w:val="0"/>
        <w:spacing w:line="264" w:lineRule="auto"/>
        <w:ind w:firstLine="435"/>
        <w:jc w:val="left"/>
        <w:rPr>
          <w:sz w:val="24"/>
        </w:rPr>
      </w:pPr>
      <w:r>
        <w:rPr>
          <w:sz w:val="24"/>
        </w:rPr>
        <w:t>4</w:t>
      </w:r>
      <w:r>
        <w:rPr>
          <w:rFonts w:hint="eastAsia"/>
          <w:sz w:val="24"/>
        </w:rPr>
        <w:t>、校本课程的开设促使学科教学特色的形成</w:t>
      </w:r>
      <w:bookmarkStart w:id="2" w:name="_Hlk517616444"/>
      <w:r>
        <w:rPr>
          <w:rFonts w:hint="eastAsia"/>
          <w:sz w:val="24"/>
        </w:rPr>
        <w:t>。目前“实验化学之美丽的晶体</w:t>
      </w:r>
      <w:bookmarkEnd w:id="2"/>
      <w:r>
        <w:rPr>
          <w:rFonts w:hint="eastAsia"/>
          <w:sz w:val="24"/>
        </w:rPr>
        <w:t>”校本课程的各个方面都得到了学生和学校的正面肯定，很大一部分学生看了我们的大晶体的“小型晶体展”后，纷纷表示想要选修这门课程。特别是很多高二学过《物质的结构与性质》模块的学生看了大晶体以后，惊讶的感叹道：“原来我们学的晶体的规则的几何外形、各向异性和自范姓原来是这么一回事！”下列是部分课程成果展示：</w:t>
      </w:r>
    </w:p>
    <w:p>
      <w:pPr>
        <w:adjustRightInd w:val="0"/>
        <w:snapToGrid w:val="0"/>
        <w:spacing w:line="264" w:lineRule="auto"/>
        <w:ind w:left="2130" w:leftChars="100" w:hanging="1920" w:hangingChars="800"/>
        <w:jc w:val="left"/>
        <w:rPr>
          <w:sz w:val="24"/>
        </w:rPr>
      </w:pPr>
      <w:r>
        <w:rPr>
          <w:rFonts w:hint="eastAsia"/>
          <w:sz w:val="24"/>
        </w:rPr>
        <w:drawing>
          <wp:inline distT="0" distB="0" distL="114300" distR="114300">
            <wp:extent cx="998220" cy="1171575"/>
            <wp:effectExtent l="0" t="0" r="1143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rcRect l="-3178" t="2876" r="3178" b="12538"/>
                    <a:stretch>
                      <a:fillRect/>
                    </a:stretch>
                  </pic:blipFill>
                  <pic:spPr>
                    <a:xfrm>
                      <a:off x="0" y="0"/>
                      <a:ext cx="998220" cy="1171575"/>
                    </a:xfrm>
                    <a:prstGeom prst="rect">
                      <a:avLst/>
                    </a:prstGeom>
                    <a:noFill/>
                    <a:ln>
                      <a:noFill/>
                    </a:ln>
                  </pic:spPr>
                </pic:pic>
              </a:graphicData>
            </a:graphic>
          </wp:inline>
        </w:drawing>
      </w:r>
      <w:r>
        <w:rPr>
          <w:rFonts w:hint="eastAsia"/>
          <w:sz w:val="24"/>
        </w:rPr>
        <w:drawing>
          <wp:inline distT="0" distB="0" distL="114300" distR="114300">
            <wp:extent cx="1423670" cy="1120140"/>
            <wp:effectExtent l="0" t="0" r="508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t="7739"/>
                    <a:stretch>
                      <a:fillRect/>
                    </a:stretch>
                  </pic:blipFill>
                  <pic:spPr>
                    <a:xfrm>
                      <a:off x="0" y="0"/>
                      <a:ext cx="1423670" cy="1120140"/>
                    </a:xfrm>
                    <a:prstGeom prst="rect">
                      <a:avLst/>
                    </a:prstGeom>
                    <a:noFill/>
                    <a:ln>
                      <a:noFill/>
                    </a:ln>
                  </pic:spPr>
                </pic:pic>
              </a:graphicData>
            </a:graphic>
          </wp:inline>
        </w:drawing>
      </w:r>
      <w:r>
        <w:rPr>
          <w:rFonts w:hint="eastAsia"/>
          <w:sz w:val="24"/>
        </w:rPr>
        <w:drawing>
          <wp:inline distT="0" distB="0" distL="114300" distR="114300">
            <wp:extent cx="1259205" cy="1156970"/>
            <wp:effectExtent l="0" t="0" r="17145"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1259205" cy="1156970"/>
                    </a:xfrm>
                    <a:prstGeom prst="rect">
                      <a:avLst/>
                    </a:prstGeom>
                    <a:noFill/>
                    <a:ln>
                      <a:noFill/>
                    </a:ln>
                  </pic:spPr>
                </pic:pic>
              </a:graphicData>
            </a:graphic>
          </wp:inline>
        </w:drawing>
      </w:r>
      <w:r>
        <w:rPr>
          <w:sz w:val="24"/>
        </w:rPr>
        <w:drawing>
          <wp:inline distT="0" distB="0" distL="114300" distR="114300">
            <wp:extent cx="1167130" cy="1167130"/>
            <wp:effectExtent l="0" t="0" r="13970" b="13970"/>
            <wp:docPr id="9" name="图片 4" descr="https://ss1.bdstatic.com/70cFvXSh_Q1YnxGkpoWK1HF6hhy/it/u=3476240858,3741817101&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https://ss1.bdstatic.com/70cFvXSh_Q1YnxGkpoWK1HF6hhy/it/u=3476240858,3741817101&amp;fm=27&amp;gp=0.jpg"/>
                    <pic:cNvPicPr>
                      <a:picLocks noChangeAspect="1"/>
                    </pic:cNvPicPr>
                  </pic:nvPicPr>
                  <pic:blipFill>
                    <a:blip r:embed="rId7"/>
                    <a:stretch>
                      <a:fillRect/>
                    </a:stretch>
                  </pic:blipFill>
                  <pic:spPr>
                    <a:xfrm>
                      <a:off x="0" y="0"/>
                      <a:ext cx="1167130" cy="1167130"/>
                    </a:xfrm>
                    <a:prstGeom prst="rect">
                      <a:avLst/>
                    </a:prstGeom>
                    <a:noFill/>
                    <a:ln>
                      <a:noFill/>
                    </a:ln>
                  </pic:spPr>
                </pic:pic>
              </a:graphicData>
            </a:graphic>
          </wp:inline>
        </w:drawing>
      </w:r>
    </w:p>
    <w:p>
      <w:pPr>
        <w:adjustRightInd w:val="0"/>
        <w:snapToGrid w:val="0"/>
        <w:spacing w:line="264" w:lineRule="auto"/>
        <w:ind w:left="1890" w:leftChars="300" w:hanging="1260" w:hangingChars="600"/>
        <w:jc w:val="left"/>
        <w:rPr>
          <w:szCs w:val="21"/>
        </w:rPr>
      </w:pPr>
      <w:r>
        <w:rPr>
          <w:rFonts w:hint="eastAsia"/>
          <w:szCs w:val="21"/>
        </w:rPr>
        <w:t>硫酸铜大晶体 硫酸铜千纸鹤模型</w:t>
      </w:r>
      <w:r>
        <w:rPr>
          <w:szCs w:val="21"/>
        </w:rPr>
        <w:t xml:space="preserve">  </w:t>
      </w:r>
      <w:r>
        <w:rPr>
          <w:rFonts w:hint="eastAsia"/>
          <w:szCs w:val="21"/>
        </w:rPr>
        <w:t xml:space="preserve">  </w:t>
      </w:r>
      <w:r>
        <w:rPr>
          <w:szCs w:val="21"/>
        </w:rPr>
        <w:t xml:space="preserve"> “</w:t>
      </w:r>
      <w:r>
        <w:rPr>
          <w:rFonts w:hint="eastAsia"/>
          <w:szCs w:val="21"/>
        </w:rPr>
        <w:t>蓝色妖姬</w:t>
      </w:r>
      <w:r>
        <w:rPr>
          <w:szCs w:val="21"/>
        </w:rPr>
        <w:t xml:space="preserve">”   </w:t>
      </w:r>
      <w:r>
        <w:rPr>
          <w:rFonts w:hint="eastAsia"/>
          <w:szCs w:val="21"/>
        </w:rPr>
        <w:t xml:space="preserve">   明矾大晶体</w:t>
      </w:r>
      <w:r>
        <w:rPr>
          <w:szCs w:val="21"/>
        </w:rPr>
        <w:t>(</w:t>
      </w:r>
      <w:r>
        <w:rPr>
          <w:rFonts w:hint="eastAsia"/>
          <w:szCs w:val="21"/>
        </w:rPr>
        <w:t>八面体形</w:t>
      </w:r>
      <w:r>
        <w:rPr>
          <w:szCs w:val="21"/>
        </w:rPr>
        <w:t>)</w:t>
      </w:r>
    </w:p>
    <w:p>
      <w:pPr>
        <w:adjustRightInd w:val="0"/>
        <w:snapToGrid w:val="0"/>
        <w:spacing w:line="264" w:lineRule="auto"/>
        <w:ind w:left="2130" w:leftChars="100" w:hanging="1920" w:hangingChars="800"/>
        <w:jc w:val="left"/>
        <w:rPr>
          <w:sz w:val="24"/>
        </w:rPr>
      </w:pPr>
      <w:r>
        <w:rPr>
          <w:sz w:val="24"/>
        </w:rPr>
        <w:drawing>
          <wp:inline distT="0" distB="0" distL="114300" distR="114300">
            <wp:extent cx="1111885" cy="1052195"/>
            <wp:effectExtent l="0" t="0" r="12065" b="14605"/>
            <wp:docPr id="8" name="图片 5" descr="https://timgsa.baidu.com/timg?image&amp;quality=80&amp;size=b9999_10000&amp;sec=1529832012473&amp;di=a1a57d9b4e7843cc6baddfeb63e41045&amp;imgtype=0&amp;src=http%3A%2F%2Fs9.sinaimg.cn%2Fmw690%2F001wFUSZzy76XmyM7z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https://timgsa.baidu.com/timg?image&amp;quality=80&amp;size=b9999_10000&amp;sec=1529832012473&amp;di=a1a57d9b4e7843cc6baddfeb63e41045&amp;imgtype=0&amp;src=http%3A%2F%2Fs9.sinaimg.cn%2Fmw690%2F001wFUSZzy76XmyM7z238"/>
                    <pic:cNvPicPr>
                      <a:picLocks noChangeAspect="1"/>
                    </pic:cNvPicPr>
                  </pic:nvPicPr>
                  <pic:blipFill>
                    <a:blip r:embed="rId8"/>
                    <a:srcRect l="26208" t="12183" r="26952" b="9999"/>
                    <a:stretch>
                      <a:fillRect/>
                    </a:stretch>
                  </pic:blipFill>
                  <pic:spPr>
                    <a:xfrm>
                      <a:off x="0" y="0"/>
                      <a:ext cx="1111885" cy="1052195"/>
                    </a:xfrm>
                    <a:prstGeom prst="rect">
                      <a:avLst/>
                    </a:prstGeom>
                    <a:noFill/>
                    <a:ln>
                      <a:noFill/>
                    </a:ln>
                  </pic:spPr>
                </pic:pic>
              </a:graphicData>
            </a:graphic>
          </wp:inline>
        </w:drawing>
      </w:r>
      <w:r>
        <w:rPr>
          <w:rFonts w:hint="eastAsia"/>
          <w:sz w:val="24"/>
        </w:rPr>
        <w:drawing>
          <wp:inline distT="0" distB="0" distL="114300" distR="114300">
            <wp:extent cx="1109980" cy="1054100"/>
            <wp:effectExtent l="0" t="0" r="13970" b="1270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1109980" cy="1054100"/>
                    </a:xfrm>
                    <a:prstGeom prst="rect">
                      <a:avLst/>
                    </a:prstGeom>
                    <a:noFill/>
                    <a:ln>
                      <a:noFill/>
                    </a:ln>
                  </pic:spPr>
                </pic:pic>
              </a:graphicData>
            </a:graphic>
          </wp:inline>
        </w:drawing>
      </w:r>
      <w:r>
        <w:rPr>
          <w:kern w:val="0"/>
          <w:sz w:val="24"/>
        </w:rPr>
        <w:drawing>
          <wp:inline distT="0" distB="0" distL="114300" distR="114300">
            <wp:extent cx="1449705" cy="1050290"/>
            <wp:effectExtent l="0" t="0" r="17145" b="16510"/>
            <wp:docPr id="5" name="图片 7" descr="https://pic1.zhimg.com/80/v2-d196a1ed91e6ed7742ad65ea5b2182f2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https://pic1.zhimg.com/80/v2-d196a1ed91e6ed7742ad65ea5b2182f2_hd.jpg"/>
                    <pic:cNvPicPr>
                      <a:picLocks noChangeAspect="1"/>
                    </pic:cNvPicPr>
                  </pic:nvPicPr>
                  <pic:blipFill>
                    <a:blip r:embed="rId10"/>
                    <a:srcRect l="11201" t="3638" r="8975" b="9840"/>
                    <a:stretch>
                      <a:fillRect/>
                    </a:stretch>
                  </pic:blipFill>
                  <pic:spPr>
                    <a:xfrm>
                      <a:off x="0" y="0"/>
                      <a:ext cx="1449705" cy="1050290"/>
                    </a:xfrm>
                    <a:prstGeom prst="rect">
                      <a:avLst/>
                    </a:prstGeom>
                    <a:noFill/>
                    <a:ln>
                      <a:noFill/>
                    </a:ln>
                  </pic:spPr>
                </pic:pic>
              </a:graphicData>
            </a:graphic>
          </wp:inline>
        </w:drawing>
      </w:r>
      <w:r>
        <w:rPr>
          <w:kern w:val="0"/>
          <w:sz w:val="24"/>
        </w:rPr>
        <w:drawing>
          <wp:inline distT="0" distB="0" distL="114300" distR="114300">
            <wp:extent cx="1221105" cy="986790"/>
            <wp:effectExtent l="0" t="0" r="17145" b="3810"/>
            <wp:docPr id="6" name="图片 8" descr="https://pic1.zhimg.com/80/v2-27aa5a28df1c1926410b2512368cffa7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https://pic1.zhimg.com/80/v2-27aa5a28df1c1926410b2512368cffa7_hd.jpg"/>
                    <pic:cNvPicPr>
                      <a:picLocks noChangeAspect="1"/>
                    </pic:cNvPicPr>
                  </pic:nvPicPr>
                  <pic:blipFill>
                    <a:blip r:embed="rId11"/>
                    <a:srcRect l="34482" t="36938" r="22241" b="41617"/>
                    <a:stretch>
                      <a:fillRect/>
                    </a:stretch>
                  </pic:blipFill>
                  <pic:spPr>
                    <a:xfrm>
                      <a:off x="0" y="0"/>
                      <a:ext cx="1221105" cy="986790"/>
                    </a:xfrm>
                    <a:prstGeom prst="rect">
                      <a:avLst/>
                    </a:prstGeom>
                    <a:noFill/>
                    <a:ln>
                      <a:noFill/>
                    </a:ln>
                  </pic:spPr>
                </pic:pic>
              </a:graphicData>
            </a:graphic>
          </wp:inline>
        </w:drawing>
      </w:r>
    </w:p>
    <w:p>
      <w:pPr>
        <w:adjustRightInd w:val="0"/>
        <w:snapToGrid w:val="0"/>
        <w:spacing w:line="264" w:lineRule="auto"/>
        <w:ind w:left="1890" w:leftChars="100" w:hanging="1680" w:hangingChars="800"/>
        <w:jc w:val="left"/>
        <w:rPr>
          <w:szCs w:val="21"/>
        </w:rPr>
      </w:pPr>
      <w:r>
        <w:rPr>
          <w:rFonts w:hint="eastAsia"/>
          <w:szCs w:val="21"/>
        </w:rPr>
        <w:t>明矾双晶</w:t>
      </w:r>
      <w:r>
        <w:rPr>
          <w:szCs w:val="21"/>
        </w:rPr>
        <w:t>(</w:t>
      </w:r>
      <w:r>
        <w:rPr>
          <w:rFonts w:hint="eastAsia"/>
          <w:szCs w:val="21"/>
        </w:rPr>
        <w:t>八面体形</w:t>
      </w:r>
      <w:r>
        <w:rPr>
          <w:szCs w:val="21"/>
        </w:rPr>
        <w:t xml:space="preserve">) </w:t>
      </w:r>
      <w:r>
        <w:rPr>
          <w:rFonts w:hint="eastAsia"/>
          <w:szCs w:val="21"/>
        </w:rPr>
        <w:t>明矾晶体</w:t>
      </w:r>
      <w:r>
        <w:rPr>
          <w:szCs w:val="21"/>
        </w:rPr>
        <w:t>(</w:t>
      </w:r>
      <w:r>
        <w:rPr>
          <w:rFonts w:hint="eastAsia"/>
          <w:szCs w:val="21"/>
        </w:rPr>
        <w:t>六边形</w:t>
      </w:r>
      <w:r>
        <w:rPr>
          <w:szCs w:val="21"/>
        </w:rPr>
        <w:t xml:space="preserve">) </w:t>
      </w:r>
      <w:r>
        <w:rPr>
          <w:rFonts w:hint="eastAsia"/>
          <w:szCs w:val="21"/>
        </w:rPr>
        <w:t>氯化钠晶体（多晶粘结）氯化钠大晶体（单晶）</w:t>
      </w:r>
    </w:p>
    <w:p>
      <w:pPr>
        <w:adjustRightInd w:val="0"/>
        <w:snapToGrid w:val="0"/>
        <w:spacing w:line="264" w:lineRule="auto"/>
        <w:rPr>
          <w:b/>
          <w:sz w:val="24"/>
        </w:rPr>
      </w:pPr>
      <w:r>
        <w:rPr>
          <w:rFonts w:hint="eastAsia"/>
          <w:b/>
          <w:sz w:val="24"/>
        </w:rPr>
        <w:t>三、校本课程开设后的反思</w:t>
      </w:r>
    </w:p>
    <w:p>
      <w:pPr>
        <w:adjustRightInd w:val="0"/>
        <w:snapToGrid w:val="0"/>
        <w:spacing w:line="264" w:lineRule="auto"/>
        <w:ind w:firstLine="480" w:firstLineChars="200"/>
        <w:rPr>
          <w:sz w:val="24"/>
        </w:rPr>
      </w:pPr>
      <w:r>
        <w:rPr>
          <w:rFonts w:hint="eastAsia"/>
          <w:sz w:val="24"/>
        </w:rPr>
        <w:t>回顾校本课程“实验化学之美丽的晶体”的开发与实施过程，笔者感到校本课程的开设是一个充满艰辛又必须循序渐进的过程，它需要经过实践和思考，需要不断地改进和完善。进行了一个学期的实践和尝试，笔者作出如下几点思考。</w:t>
      </w:r>
    </w:p>
    <w:p>
      <w:pPr>
        <w:adjustRightInd w:val="0"/>
        <w:snapToGrid w:val="0"/>
        <w:spacing w:line="264" w:lineRule="auto"/>
        <w:ind w:firstLine="480" w:firstLineChars="200"/>
        <w:rPr>
          <w:sz w:val="24"/>
        </w:rPr>
      </w:pPr>
      <w:r>
        <w:rPr>
          <w:rFonts w:hint="eastAsia"/>
          <w:sz w:val="24"/>
        </w:rPr>
        <w:t>（</w:t>
      </w:r>
      <w:r>
        <w:rPr>
          <w:sz w:val="24"/>
        </w:rPr>
        <w:t>1</w:t>
      </w:r>
      <w:r>
        <w:rPr>
          <w:rFonts w:hint="eastAsia"/>
          <w:sz w:val="24"/>
        </w:rPr>
        <w:t>）与传统课程相比，笔者认为校本课程在课程设计上应更注重课程目标对课程内容的导向作用，要能够有序、系统地组织课程内容，并对课程开展过程进行评估与评价，适时采取应变与改善措施，再进一步完善课程的开发。具体开发和实施的模式</w:t>
      </w:r>
      <w:r>
        <w:rPr>
          <w:sz w:val="24"/>
          <w:vertAlign w:val="superscript"/>
        </w:rPr>
        <w:t>[5]</w:t>
      </w:r>
      <w:r>
        <w:rPr>
          <w:rFonts w:hint="eastAsia"/>
          <w:sz w:val="24"/>
        </w:rPr>
        <w:t>如下：</w:t>
      </w:r>
    </w:p>
    <w:p>
      <w:pPr>
        <w:adjustRightInd w:val="0"/>
        <w:snapToGrid w:val="0"/>
        <w:spacing w:line="264" w:lineRule="auto"/>
        <w:ind w:firstLine="480" w:firstLineChars="200"/>
        <w:jc w:val="center"/>
        <w:rPr>
          <w:sz w:val="24"/>
        </w:rPr>
      </w:pPr>
      <w:r>
        <w:rPr>
          <w:sz w:val="24"/>
        </w:rPr>
        <w:drawing>
          <wp:inline distT="0" distB="0" distL="114300" distR="114300">
            <wp:extent cx="4267200" cy="1117600"/>
            <wp:effectExtent l="0" t="0" r="0" b="571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12"/>
                    <a:srcRect l="9067" t="13405" r="10881"/>
                    <a:stretch>
                      <a:fillRect/>
                    </a:stretch>
                  </pic:blipFill>
                  <pic:spPr>
                    <a:xfrm>
                      <a:off x="0" y="0"/>
                      <a:ext cx="4267200" cy="1117600"/>
                    </a:xfrm>
                    <a:prstGeom prst="rect">
                      <a:avLst/>
                    </a:prstGeom>
                    <a:noFill/>
                    <a:ln>
                      <a:noFill/>
                    </a:ln>
                  </pic:spPr>
                </pic:pic>
              </a:graphicData>
            </a:graphic>
          </wp:inline>
        </w:drawing>
      </w:r>
    </w:p>
    <w:p>
      <w:pPr>
        <w:adjustRightInd w:val="0"/>
        <w:snapToGrid w:val="0"/>
        <w:spacing w:line="264" w:lineRule="auto"/>
        <w:ind w:firstLine="480" w:firstLineChars="200"/>
        <w:rPr>
          <w:sz w:val="24"/>
        </w:rPr>
      </w:pPr>
      <w:r>
        <w:rPr>
          <w:rFonts w:hint="eastAsia"/>
          <w:sz w:val="24"/>
        </w:rPr>
        <w:t>目前“实验化学之美丽的晶体”校本课程的开发仍处于起步阶段，课程设计和课程实践有待进一步完善，总会出现各种各样的问题。不过，笔者相信只要对该校本课程进行评估与评价，继而进行完善化设计，不断累积实践经验和及时反思，有望将校本课程的建设提升到一个较高的水平。</w:t>
      </w:r>
    </w:p>
    <w:p>
      <w:pPr>
        <w:adjustRightInd w:val="0"/>
        <w:snapToGrid w:val="0"/>
        <w:spacing w:line="264" w:lineRule="auto"/>
        <w:ind w:firstLine="480" w:firstLineChars="200"/>
        <w:rPr>
          <w:sz w:val="24"/>
        </w:rPr>
      </w:pPr>
      <w:r>
        <w:rPr>
          <w:rFonts w:hint="eastAsia"/>
          <w:sz w:val="24"/>
        </w:rPr>
        <w:t>（</w:t>
      </w:r>
      <w:r>
        <w:rPr>
          <w:sz w:val="24"/>
        </w:rPr>
        <w:t>2</w:t>
      </w:r>
      <w:r>
        <w:rPr>
          <w:rFonts w:hint="eastAsia"/>
          <w:sz w:val="24"/>
        </w:rPr>
        <w:t>）教师是校本课程设计的主体，因而必须慎重考虑校本课程的内容。在“实验化学之美丽的晶体”校本课程实施过程中，笔者认为某个实验具有趣味性且有实验意义，但有时候学生并不这么认为，或者说在重复一系列相似实验后，一些学生对课程失去了兴趣。笔者认为，课程中一些实验内容的选择和课程实施的手段可以由学生共同决定，也就是说学生也具有参与校本课程开发、进行课程决策的权力。只有当学生认同课程意义与趣味性，才会自愿地参与课程的实施，并从中有所感悟。笔者相信，经过几轮课程实践后，可以筛选出一批学生确实感兴趣、有助于培养学生科学素养和实验素养的化学实验，进而开发出一门生动而有意义的综合性化学实验校本课程。</w:t>
      </w:r>
    </w:p>
    <w:p>
      <w:pPr>
        <w:adjustRightInd w:val="0"/>
        <w:snapToGrid w:val="0"/>
        <w:spacing w:line="264" w:lineRule="auto"/>
        <w:ind w:firstLine="480" w:firstLineChars="200"/>
        <w:rPr>
          <w:sz w:val="24"/>
        </w:rPr>
      </w:pPr>
      <w:r>
        <w:rPr>
          <w:rFonts w:hint="eastAsia"/>
          <w:sz w:val="24"/>
        </w:rPr>
        <w:t>（</w:t>
      </w:r>
      <w:r>
        <w:rPr>
          <w:sz w:val="24"/>
        </w:rPr>
        <w:t>3</w:t>
      </w:r>
      <w:r>
        <w:rPr>
          <w:rFonts w:hint="eastAsia"/>
          <w:sz w:val="24"/>
        </w:rPr>
        <w:t>）在整个课程实施到最后，遗憾的是学生实际大晶体制备的实验只有</w:t>
      </w:r>
      <w:r>
        <w:rPr>
          <w:sz w:val="24"/>
        </w:rPr>
        <w:t>5</w:t>
      </w:r>
      <w:r>
        <w:rPr>
          <w:rFonts w:hint="eastAsia"/>
          <w:sz w:val="24"/>
        </w:rPr>
        <w:t>个，远少于课程方案的设想。原因是多方面的，一是选择该课程的学生层次参差不齐，很大一部分学生实验动手能力弱，导致一个是要要重复好几次；二是很多大晶体的生长需要较长时间，并且对生长环境的控制要求也较高，这就导致一个需要多个课时才能完成；三是校本课程开展并不是开课教师“单人独马”所能完成的，是需要通过教研组教师间相互合作、交流和配合，才能超越开课教师个人局限性，使校本课程的开发和实施过程趋于系统和完善。但实际是教师的意愿、不同教师的工作负担和时间限制、参与的方式等因素都会影响课程的发展</w:t>
      </w:r>
      <w:r>
        <w:rPr>
          <w:sz w:val="24"/>
        </w:rPr>
        <w:fldChar w:fldCharType="begin"/>
      </w:r>
      <w:r>
        <w:rPr>
          <w:sz w:val="24"/>
        </w:rPr>
        <w:instrText xml:space="preserve"> REF _Ref517680982 \r \h  \* MERGEFORMAT </w:instrText>
      </w:r>
      <w:r>
        <w:rPr>
          <w:sz w:val="24"/>
        </w:rPr>
        <w:fldChar w:fldCharType="separate"/>
      </w:r>
      <w:r>
        <w:rPr>
          <w:sz w:val="24"/>
          <w:vertAlign w:val="superscript"/>
        </w:rPr>
        <w:t>[6]</w:t>
      </w:r>
      <w:r>
        <w:rPr>
          <w:sz w:val="24"/>
        </w:rPr>
        <w:t xml:space="preserve"> </w:t>
      </w:r>
      <w:r>
        <w:rPr>
          <w:sz w:val="24"/>
        </w:rPr>
        <w:fldChar w:fldCharType="end"/>
      </w:r>
      <w:r>
        <w:rPr>
          <w:rFonts w:hint="eastAsia"/>
          <w:sz w:val="24"/>
        </w:rPr>
        <w:t>。</w:t>
      </w:r>
    </w:p>
    <w:p>
      <w:pPr>
        <w:adjustRightInd w:val="0"/>
        <w:snapToGrid w:val="0"/>
        <w:spacing w:line="264" w:lineRule="auto"/>
        <w:ind w:firstLine="480" w:firstLineChars="200"/>
        <w:rPr>
          <w:sz w:val="24"/>
        </w:rPr>
      </w:pPr>
      <w:r>
        <w:rPr>
          <w:rFonts w:hint="eastAsia"/>
          <w:sz w:val="24"/>
        </w:rPr>
        <w:t>总之，在校本课程开发与实施过程中，在学生层面，我们应该实行引导式教育，引导学生自主学习；学生要转变学习角色，树立以我为主的学习方法，独立思考，学会提出问题、分析问题、解决问题，培养社会责任感和主人翁意识。在教师层面，教师间应充分发挥合作精神，共同设计出最佳的校本课程，才能达到事半功倍的教学成果。在学校层面上，学校应以实现“促进学生个性发展和教师专业发展，形成和体现学校的办学特色”为目标，进一步完善校本课程开发机制，为校本课程的开发和实施提供物质和制度保障。</w:t>
      </w:r>
    </w:p>
    <w:p>
      <w:pPr>
        <w:adjustRightInd w:val="0"/>
        <w:snapToGrid w:val="0"/>
        <w:spacing w:line="264" w:lineRule="auto"/>
        <w:rPr>
          <w:rFonts w:hint="eastAsia" w:ascii="楷体_GB2312" w:eastAsia="楷体_GB2312"/>
          <w:b/>
          <w:sz w:val="24"/>
        </w:rPr>
      </w:pPr>
      <w:r>
        <w:rPr>
          <w:rFonts w:hint="eastAsia" w:ascii="楷体_GB2312" w:eastAsia="楷体_GB2312"/>
          <w:b/>
          <w:sz w:val="24"/>
        </w:rPr>
        <w:t>参考文献：</w:t>
      </w:r>
    </w:p>
    <w:p>
      <w:pPr>
        <w:pStyle w:val="4"/>
        <w:numPr>
          <w:ilvl w:val="0"/>
          <w:numId w:val="1"/>
        </w:numPr>
        <w:adjustRightInd w:val="0"/>
        <w:snapToGrid w:val="0"/>
        <w:spacing w:line="264" w:lineRule="auto"/>
        <w:ind w:firstLineChars="0"/>
        <w:rPr>
          <w:rFonts w:hint="eastAsia" w:ascii="楷体_GB2312" w:hAnsi="Times New Roman" w:eastAsia="楷体_GB2312"/>
          <w:sz w:val="24"/>
          <w:szCs w:val="24"/>
        </w:rPr>
      </w:pPr>
      <w:bookmarkStart w:id="3" w:name="_Ref517678895"/>
      <w:r>
        <w:rPr>
          <w:rFonts w:hint="eastAsia" w:ascii="楷体_GB2312" w:hAnsi="Times New Roman" w:eastAsia="楷体_GB2312"/>
          <w:sz w:val="24"/>
          <w:szCs w:val="24"/>
        </w:rPr>
        <w:t>普通高中化学课程标准. 2017年版</w:t>
      </w:r>
      <w:bookmarkEnd w:id="3"/>
    </w:p>
    <w:p>
      <w:pPr>
        <w:pStyle w:val="4"/>
        <w:numPr>
          <w:ilvl w:val="0"/>
          <w:numId w:val="1"/>
        </w:numPr>
        <w:adjustRightInd w:val="0"/>
        <w:snapToGrid w:val="0"/>
        <w:spacing w:line="264" w:lineRule="auto"/>
        <w:ind w:firstLineChars="0"/>
        <w:rPr>
          <w:rFonts w:hint="eastAsia" w:ascii="楷体_GB2312" w:hAnsi="Times New Roman" w:eastAsia="楷体_GB2312"/>
          <w:sz w:val="24"/>
          <w:szCs w:val="24"/>
        </w:rPr>
      </w:pPr>
      <w:bookmarkStart w:id="4" w:name="_Ref517678922"/>
      <w:r>
        <w:rPr>
          <w:rFonts w:hint="eastAsia" w:ascii="楷体_GB2312" w:hAnsi="Times New Roman" w:eastAsia="楷体_GB2312"/>
          <w:sz w:val="24"/>
          <w:szCs w:val="24"/>
        </w:rPr>
        <w:t>基础教育课程改革纲要(试行). 教育部门户网站, 2001-06-08</w:t>
      </w:r>
      <w:bookmarkEnd w:id="4"/>
    </w:p>
    <w:p>
      <w:pPr>
        <w:pStyle w:val="4"/>
        <w:numPr>
          <w:ilvl w:val="0"/>
          <w:numId w:val="1"/>
        </w:numPr>
        <w:adjustRightInd w:val="0"/>
        <w:snapToGrid w:val="0"/>
        <w:spacing w:line="264" w:lineRule="auto"/>
        <w:ind w:firstLineChars="0"/>
        <w:rPr>
          <w:rFonts w:hint="eastAsia" w:ascii="楷体_GB2312" w:hAnsi="Times New Roman" w:eastAsia="楷体_GB2312"/>
          <w:sz w:val="24"/>
          <w:szCs w:val="24"/>
        </w:rPr>
      </w:pPr>
      <w:bookmarkStart w:id="5" w:name="_Ref517678975"/>
      <w:r>
        <w:rPr>
          <w:rFonts w:hint="eastAsia" w:ascii="楷体_GB2312" w:hAnsi="Times New Roman" w:eastAsia="楷体_GB2312"/>
          <w:sz w:val="24"/>
          <w:szCs w:val="24"/>
        </w:rPr>
        <w:t>黄新阶,孙旭. 探究制取大块硫酸铜晶体的条件[J]. 农村青少年科学探究,2015(1)</w:t>
      </w:r>
      <w:bookmarkEnd w:id="5"/>
    </w:p>
    <w:p>
      <w:pPr>
        <w:pStyle w:val="4"/>
        <w:numPr>
          <w:ilvl w:val="0"/>
          <w:numId w:val="1"/>
        </w:numPr>
        <w:adjustRightInd w:val="0"/>
        <w:snapToGrid w:val="0"/>
        <w:spacing w:line="264" w:lineRule="auto"/>
        <w:ind w:firstLineChars="0"/>
        <w:rPr>
          <w:rFonts w:hint="eastAsia" w:ascii="楷体_GB2312" w:hAnsi="Times New Roman" w:eastAsia="楷体_GB2312"/>
          <w:sz w:val="24"/>
          <w:szCs w:val="24"/>
        </w:rPr>
      </w:pPr>
      <w:bookmarkStart w:id="6" w:name="_Ref517678979"/>
      <w:r>
        <w:rPr>
          <w:rFonts w:hint="eastAsia" w:ascii="楷体_GB2312" w:hAnsi="Times New Roman" w:eastAsia="楷体_GB2312"/>
          <w:sz w:val="24"/>
          <w:szCs w:val="24"/>
        </w:rPr>
        <w:t>杜玉玲. 块硫酸铜晶体的制备[J]. 中学化学教学参考,1994(4):45-45</w:t>
      </w:r>
      <w:bookmarkEnd w:id="6"/>
    </w:p>
    <w:p>
      <w:pPr>
        <w:pStyle w:val="4"/>
        <w:numPr>
          <w:ilvl w:val="0"/>
          <w:numId w:val="1"/>
        </w:numPr>
        <w:adjustRightInd w:val="0"/>
        <w:snapToGrid w:val="0"/>
        <w:spacing w:line="264" w:lineRule="auto"/>
        <w:ind w:firstLineChars="0"/>
        <w:rPr>
          <w:rFonts w:hint="eastAsia" w:ascii="楷体_GB2312" w:hAnsi="Times New Roman" w:eastAsia="楷体_GB2312"/>
          <w:sz w:val="24"/>
          <w:szCs w:val="24"/>
        </w:rPr>
      </w:pPr>
      <w:r>
        <w:rPr>
          <w:rFonts w:hint="eastAsia" w:ascii="楷体_GB2312" w:hAnsi="Times New Roman" w:eastAsia="楷体_GB2312"/>
          <w:sz w:val="24"/>
          <w:szCs w:val="24"/>
        </w:rPr>
        <w:t>龚魏魏. 文化视野下化学校本课程开发的行动研究[D]. 苏州大学 2008:29~33</w:t>
      </w:r>
    </w:p>
    <w:p>
      <w:pPr>
        <w:pStyle w:val="4"/>
        <w:numPr>
          <w:ilvl w:val="0"/>
          <w:numId w:val="1"/>
        </w:numPr>
        <w:adjustRightInd w:val="0"/>
        <w:snapToGrid w:val="0"/>
        <w:spacing w:line="264" w:lineRule="auto"/>
        <w:ind w:firstLineChars="0"/>
        <w:jc w:val="left"/>
        <w:rPr>
          <w:rFonts w:hint="eastAsia" w:ascii="楷体_GB2312" w:hAnsi="Times New Roman" w:eastAsia="楷体_GB2312"/>
          <w:sz w:val="24"/>
          <w:szCs w:val="24"/>
        </w:rPr>
      </w:pPr>
      <w:bookmarkStart w:id="7" w:name="_Ref517680982"/>
      <w:r>
        <w:rPr>
          <w:rFonts w:hint="eastAsia" w:ascii="楷体_GB2312" w:hAnsi="Times New Roman" w:eastAsia="楷体_GB2312"/>
          <w:sz w:val="24"/>
          <w:szCs w:val="24"/>
        </w:rPr>
        <w:t>麦裕华. 高中化学实验校本课程"哈利·波特化学魔法"的开发与思考[J]. 化学教学,2010(10):26-28</w:t>
      </w:r>
      <w:bookmarkEnd w:id="7"/>
    </w:p>
    <w:p/>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2018年龙岩市“普通高中教学教研开放活动”教师论文评选中荣获一等奖）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09F9"/>
    <w:multiLevelType w:val="multilevel"/>
    <w:tmpl w:val="4AA309F9"/>
    <w:lvl w:ilvl="0" w:tentative="0">
      <w:start w:val="1"/>
      <w:numFmt w:val="decimal"/>
      <w:lvlText w:val="[%1] "/>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90FBC"/>
    <w:rsid w:val="62C90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emf"/><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2019-05-30T07:46:00Z</dcterms:created>
  <dc:creator>花开花落</dc:creator>
  <cp:lastModifiedBy>花开花落</cp:lastModifiedBy>
  <dcterms:modified xsi:type="dcterms:W3CDTF">2019-05-30T07:51:04Z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