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hint="eastAsia" w:ascii="宋体" w:hAnsi="宋体"/>
          <w:b/>
          <w:bCs/>
          <w:sz w:val="32"/>
          <w:szCs w:val="32"/>
        </w:rPr>
      </w:pPr>
      <w:r>
        <w:rPr>
          <w:rFonts w:hint="eastAsia" w:ascii="宋体" w:hAnsi="宋体"/>
          <w:b/>
          <w:bCs/>
          <w:sz w:val="32"/>
          <w:szCs w:val="32"/>
        </w:rPr>
        <w:t>浅谈空间立体模型在化学选修教</w:t>
      </w:r>
      <w:bookmarkStart w:id="0" w:name="_GoBack"/>
      <w:bookmarkEnd w:id="0"/>
      <w:r>
        <w:rPr>
          <w:rFonts w:hint="eastAsia" w:ascii="宋体" w:hAnsi="宋体"/>
          <w:b/>
          <w:bCs/>
          <w:sz w:val="32"/>
          <w:szCs w:val="32"/>
        </w:rPr>
        <w:t>学应用</w:t>
      </w:r>
    </w:p>
    <w:p>
      <w:pPr>
        <w:adjustRightInd w:val="0"/>
        <w:snapToGrid w:val="0"/>
        <w:spacing w:line="264" w:lineRule="auto"/>
        <w:jc w:val="center"/>
        <w:rPr>
          <w:rFonts w:hint="eastAsia" w:ascii="宋体" w:hAnsi="宋体"/>
          <w:bCs/>
          <w:sz w:val="24"/>
        </w:rPr>
      </w:pPr>
      <w:r>
        <w:rPr>
          <w:rFonts w:hint="eastAsia" w:ascii="宋体" w:hAnsi="宋体"/>
          <w:bCs/>
          <w:sz w:val="24"/>
        </w:rPr>
        <w:t>永定一中 张晓春</w:t>
      </w:r>
    </w:p>
    <w:p>
      <w:pPr>
        <w:adjustRightInd w:val="0"/>
        <w:snapToGrid w:val="0"/>
        <w:spacing w:line="264" w:lineRule="auto"/>
        <w:ind w:firstLine="480" w:firstLineChars="200"/>
        <w:rPr>
          <w:rFonts w:hint="eastAsia" w:ascii="楷体_GB2312" w:hAnsi="宋体" w:eastAsia="楷体_GB2312"/>
          <w:bCs/>
          <w:sz w:val="24"/>
        </w:rPr>
      </w:pPr>
      <w:r>
        <w:rPr>
          <w:rFonts w:hint="eastAsia" w:ascii="楷体_GB2312" w:hAnsi="宋体" w:eastAsia="楷体_GB2312"/>
          <w:bCs/>
          <w:sz w:val="24"/>
        </w:rPr>
        <w:t>摘要：高中化学选修教学中，注重从认识结构到理解物质性质的这一过程。为了让学生从宏观物质中了解其微观的空间结构，创建空间立体模型有利于学生正确地认识物质结构，在选修化学教学中引导学生通过空间立体模型演示物质的构成及变化认识真实的结构性质起到至关的重要作用。</w:t>
      </w:r>
    </w:p>
    <w:p>
      <w:pPr>
        <w:adjustRightInd w:val="0"/>
        <w:snapToGrid w:val="0"/>
        <w:spacing w:line="264" w:lineRule="auto"/>
        <w:ind w:firstLine="480" w:firstLineChars="200"/>
        <w:rPr>
          <w:rFonts w:hint="eastAsia" w:ascii="楷体_GB2312" w:hAnsi="宋体" w:eastAsia="楷体_GB2312"/>
          <w:bCs/>
          <w:sz w:val="24"/>
        </w:rPr>
      </w:pPr>
      <w:r>
        <w:rPr>
          <w:rFonts w:hint="eastAsia" w:ascii="楷体_GB2312" w:hAnsi="宋体" w:eastAsia="楷体_GB2312"/>
          <w:bCs/>
          <w:sz w:val="24"/>
        </w:rPr>
        <w:t>关键词：空间立体模型   晶体模型   有机分子模型</w:t>
      </w:r>
    </w:p>
    <w:p>
      <w:pPr>
        <w:adjustRightInd w:val="0"/>
        <w:snapToGrid w:val="0"/>
        <w:spacing w:line="264" w:lineRule="auto"/>
        <w:ind w:firstLine="480" w:firstLineChars="200"/>
        <w:rPr>
          <w:rFonts w:hint="eastAsia" w:ascii="宋体" w:hAnsi="宋体"/>
          <w:bCs/>
          <w:sz w:val="24"/>
        </w:rPr>
      </w:pPr>
      <w:r>
        <w:rPr>
          <w:rFonts w:hint="eastAsia" w:ascii="宋体" w:hAnsi="宋体"/>
          <w:bCs/>
          <w:sz w:val="24"/>
        </w:rPr>
        <w:t>高中化学选修教学主要有物质结构性质基础及有机化学基础，这两个有相似之处，对于物质的结构的要求尤其重要。如晶体的结构，有机物的结构对于很多的学生来说，感觉挺难，不好理解。主要原因是学生缺乏空间想象力，无法在大脑中构建其立体模型。这时如果给学生呈现具体的空间立体模型，那么所有问题迎刃而解。本文浅谈一下立体空间模型在晶体结构认识晶胞计算及有机物官能团性质教学中应用。</w:t>
      </w:r>
    </w:p>
    <w:p>
      <w:pPr>
        <w:numPr>
          <w:ilvl w:val="0"/>
          <w:numId w:val="1"/>
        </w:numPr>
        <w:adjustRightInd w:val="0"/>
        <w:snapToGrid w:val="0"/>
        <w:spacing w:line="264" w:lineRule="auto"/>
        <w:rPr>
          <w:rFonts w:hint="eastAsia" w:ascii="宋体" w:hAnsi="宋体"/>
          <w:bCs/>
          <w:sz w:val="24"/>
        </w:rPr>
      </w:pPr>
      <w:r>
        <w:rPr>
          <w:rFonts w:hint="eastAsia" w:ascii="宋体" w:hAnsi="宋体"/>
          <w:bCs/>
          <w:sz w:val="24"/>
        </w:rPr>
        <w:t>立体空间模型在晶体结构认识及晶胞计算中应用</w:t>
      </w:r>
    </w:p>
    <w:p>
      <w:pPr>
        <w:adjustRightInd w:val="0"/>
        <w:snapToGrid w:val="0"/>
        <w:rPr>
          <w:rFonts w:hint="eastAsia" w:ascii="宋体" w:hAnsi="宋体" w:cs="宋体"/>
          <w:bCs/>
          <w:sz w:val="24"/>
          <w:shd w:val="clear" w:color="auto" w:fill="FFFFFF"/>
        </w:rPr>
      </w:pPr>
      <w:r>
        <w:rPr>
          <w:rFonts w:hint="eastAsia" w:ascii="宋体" w:hAnsi="宋体"/>
          <w:bCs/>
          <w:sz w:val="24"/>
        </w:rPr>
        <w:t xml:space="preserve">   </w:t>
      </w:r>
      <w:r>
        <w:rPr>
          <w:rFonts w:hint="eastAsia" w:ascii="宋体" w:hAnsi="宋体" w:cs="宋体"/>
          <w:bCs/>
          <w:sz w:val="24"/>
          <w:shd w:val="clear" w:color="auto" w:fill="FFFFFF"/>
        </w:rPr>
        <w:t>晶体结构是近几年来高考考查的重点和热点，特别是晶体结构的计算更是其中的重中之重，它体现了高考考试说明中提出的“将化学问题抽象为具体的数学问题，利用空间立体模型来计算推理解决化学问题的能力”的要求。化学教学中，让学生学习和探究原子、离子、晶体结构等微观结构内容，可以促进学生形成比较丰满的三维空间概念，有效地带动学生进行丰富多样的三维空间想像。通过氯化钠、氯化铯、金刚石、石墨、干冰、二氧化硅等曲型晶体结构模型为落点来设计问题考查学生的三维空间思维能力。</w:t>
      </w:r>
    </w:p>
    <w:p>
      <w:pPr>
        <w:adjustRightInd w:val="0"/>
        <w:snapToGrid w:val="0"/>
        <w:ind w:firstLine="602"/>
        <w:rPr>
          <w:rFonts w:hint="eastAsia" w:ascii="宋体" w:hAnsi="宋体" w:cs="宋体"/>
          <w:bCs/>
          <w:sz w:val="24"/>
          <w:shd w:val="clear" w:color="auto" w:fill="FFFFFF"/>
        </w:rPr>
      </w:pPr>
      <w:r>
        <w:rPr>
          <w:rFonts w:hint="eastAsia" w:ascii="宋体" w:hAnsi="宋体" w:cs="宋体"/>
          <w:bCs/>
          <w:sz w:val="24"/>
          <w:shd w:val="clear" w:color="auto" w:fill="FFFFFF"/>
        </w:rPr>
        <w:t>例如：在探讨最为熟悉的金刚石的空间结构时，在课堂提问学生，基本学生能极快的回答出正四面体结构，但如果更深层次的提问到以下问题：（1）由共价键构成的最小环结构中有几个碳原子？（2）不在同一个平面上，每个C原子被几个六元环共用，每C—C键共形成几个环？（3）C 原子数: C—C 键键数 ＝ ？</w:t>
      </w:r>
    </w:p>
    <w:p>
      <w:pPr>
        <w:adjustRightInd w:val="0"/>
        <w:snapToGrid w:val="0"/>
        <w:rPr>
          <w:rFonts w:hint="eastAsia" w:ascii="宋体" w:hAnsi="宋体" w:cs="宋体"/>
          <w:bCs/>
          <w:sz w:val="24"/>
          <w:shd w:val="clear" w:color="auto" w:fill="FFFFFF"/>
        </w:rPr>
      </w:pPr>
      <w:r>
        <w:rPr>
          <w:rFonts w:hint="eastAsia" w:ascii="宋体" w:hAnsi="宋体" w:cs="宋体"/>
          <w:bCs/>
          <w:sz w:val="24"/>
          <w:shd w:val="clear" w:color="auto" w:fill="FFFFFF"/>
        </w:rPr>
        <w:t>这时学生就摸不着头脑了，学生无法在大脑形成整个三维空间的正四面体构型。这时教师应通过现代信息技术或则实验教具给学生呈现金刚石的空间立体构型模型。</w:t>
      </w:r>
      <w:r>
        <w:rPr>
          <w:rFonts w:hint="eastAsia" w:ascii="宋体" w:hAnsi="宋体" w:cs="宋体"/>
          <w:bCs/>
          <w:sz w:val="24"/>
          <w:shd w:val="clear" w:color="auto" w:fill="FFFFFF"/>
        </w:rPr>
        <w:drawing>
          <wp:inline distT="0" distB="0" distL="114300" distR="114300">
            <wp:extent cx="1943100" cy="1457960"/>
            <wp:effectExtent l="0" t="0" r="0" b="8890"/>
            <wp:docPr id="6" name="图片 1" descr="t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timg (1)"/>
                    <pic:cNvPicPr>
                      <a:picLocks noChangeAspect="1"/>
                    </pic:cNvPicPr>
                  </pic:nvPicPr>
                  <pic:blipFill>
                    <a:blip r:embed="rId4"/>
                    <a:stretch>
                      <a:fillRect/>
                    </a:stretch>
                  </pic:blipFill>
                  <pic:spPr>
                    <a:xfrm>
                      <a:off x="0" y="0"/>
                      <a:ext cx="1943100" cy="1457960"/>
                    </a:xfrm>
                    <a:prstGeom prst="rect">
                      <a:avLst/>
                    </a:prstGeom>
                    <a:noFill/>
                    <a:ln>
                      <a:noFill/>
                    </a:ln>
                  </pic:spPr>
                </pic:pic>
              </a:graphicData>
            </a:graphic>
          </wp:inline>
        </w:drawing>
      </w:r>
    </w:p>
    <w:p>
      <w:pPr>
        <w:adjustRightInd w:val="0"/>
        <w:snapToGrid w:val="0"/>
        <w:rPr>
          <w:rFonts w:hint="eastAsia" w:ascii="宋体" w:hAnsi="宋体" w:cs="宋体"/>
          <w:bCs/>
          <w:sz w:val="24"/>
          <w:shd w:val="clear" w:color="auto" w:fill="FFFFFF"/>
        </w:rPr>
      </w:pPr>
      <w:r>
        <w:rPr>
          <w:rFonts w:hint="eastAsia" w:ascii="宋体" w:hAnsi="宋体" w:cs="宋体"/>
          <w:bCs/>
          <w:sz w:val="24"/>
          <w:shd w:val="clear" w:color="auto" w:fill="FFFFFF"/>
        </w:rPr>
        <w:t>学生就能直观的看到金刚石并不是简单正四面体，而是空间网状结构，通过立体构型模型上面问题自然就解决了。同时，硅晶体的结构及二氧化硅也解决。</w:t>
      </w:r>
    </w:p>
    <w:p>
      <w:pPr>
        <w:adjustRightInd w:val="0"/>
        <w:snapToGrid w:val="0"/>
        <w:rPr>
          <w:rFonts w:hint="eastAsia" w:ascii="宋体" w:hAnsi="宋体" w:cs="宋体"/>
          <w:bCs/>
          <w:sz w:val="24"/>
          <w:shd w:val="clear" w:color="auto" w:fill="FFFFFF"/>
        </w:rPr>
      </w:pPr>
      <w:r>
        <w:rPr>
          <w:rFonts w:hint="eastAsia" w:ascii="宋体" w:hAnsi="宋体" w:cs="宋体"/>
          <w:bCs/>
          <w:sz w:val="24"/>
          <w:shd w:val="clear" w:color="auto" w:fill="FFFFFF"/>
        </w:rPr>
        <w:t xml:space="preserve">   再例如离子晶体氯化钠教学中，在计算离子数目以及配位数等相关问题时，学生无法通过自己想象解决，这时呈现以下：</w:t>
      </w:r>
    </w:p>
    <w:p>
      <w:pPr>
        <w:adjustRightInd w:val="0"/>
        <w:snapToGrid w:val="0"/>
        <w:rPr>
          <w:rFonts w:hint="eastAsia" w:ascii="宋体" w:hAnsi="宋体" w:cs="宋体"/>
          <w:b/>
          <w:bCs/>
          <w:sz w:val="24"/>
          <w:shd w:val="clear" w:color="auto" w:fill="FFFFFF"/>
        </w:rPr>
      </w:pPr>
      <w:r>
        <w:rPr>
          <w:rFonts w:hint="eastAsia" w:ascii="宋体" w:hAnsi="宋体" w:cs="宋体"/>
          <w:b/>
          <w:bCs/>
          <w:sz w:val="24"/>
          <w:shd w:val="clear" w:color="auto" w:fill="FFFFFF"/>
        </w:rPr>
        <w:drawing>
          <wp:inline distT="0" distB="0" distL="114300" distR="114300">
            <wp:extent cx="3657600" cy="1541780"/>
            <wp:effectExtent l="0" t="0" r="0" b="1270"/>
            <wp:docPr id="5" name="图片 2"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timg"/>
                    <pic:cNvPicPr>
                      <a:picLocks noChangeAspect="1"/>
                    </pic:cNvPicPr>
                  </pic:nvPicPr>
                  <pic:blipFill>
                    <a:blip r:embed="rId5"/>
                    <a:stretch>
                      <a:fillRect/>
                    </a:stretch>
                  </pic:blipFill>
                  <pic:spPr>
                    <a:xfrm>
                      <a:off x="0" y="0"/>
                      <a:ext cx="3657600" cy="1541780"/>
                    </a:xfrm>
                    <a:prstGeom prst="rect">
                      <a:avLst/>
                    </a:prstGeom>
                    <a:noFill/>
                    <a:ln>
                      <a:noFill/>
                    </a:ln>
                  </pic:spPr>
                </pic:pic>
              </a:graphicData>
            </a:graphic>
          </wp:inline>
        </w:drawing>
      </w:r>
    </w:p>
    <w:p>
      <w:pPr>
        <w:adjustRightInd w:val="0"/>
        <w:snapToGrid w:val="0"/>
        <w:rPr>
          <w:rFonts w:hint="eastAsia" w:ascii="宋体" w:hAnsi="宋体" w:cs="宋体"/>
          <w:bCs/>
          <w:sz w:val="24"/>
          <w:shd w:val="clear" w:color="auto" w:fill="FFFFFF"/>
        </w:rPr>
      </w:pPr>
      <w:r>
        <w:rPr>
          <w:rFonts w:hint="eastAsia" w:ascii="宋体" w:hAnsi="宋体" w:cs="宋体"/>
          <w:bCs/>
          <w:sz w:val="24"/>
          <w:shd w:val="clear" w:color="auto" w:fill="FFFFFF"/>
        </w:rPr>
        <w:t>学生就很好解决这些问题。</w:t>
      </w:r>
    </w:p>
    <w:p>
      <w:pPr>
        <w:pStyle w:val="2"/>
        <w:widowControl/>
        <w:adjustRightInd w:val="0"/>
        <w:snapToGrid w:val="0"/>
        <w:ind w:firstLine="480" w:firstLineChars="200"/>
        <w:rPr>
          <w:rFonts w:ascii="宋体" w:hAnsi="宋体"/>
          <w:bCs/>
        </w:rPr>
      </w:pPr>
      <w:r>
        <w:rPr>
          <w:rFonts w:hint="eastAsia" w:ascii="宋体" w:hAnsi="宋体"/>
          <w:bCs/>
        </w:rPr>
        <w:t xml:space="preserve"> </w:t>
      </w:r>
      <w:r>
        <w:rPr>
          <w:rFonts w:ascii="宋体" w:hAnsi="宋体" w:cs="Arial"/>
          <w:bCs/>
          <w:shd w:val="clear" w:color="auto" w:fill="FFFFFF"/>
        </w:rPr>
        <w:t>晶体组成与结构是涉及了晶体的组成微粒以及微粒在空间的立体排布,</w:t>
      </w:r>
      <w:r>
        <w:rPr>
          <w:rFonts w:hint="eastAsia" w:ascii="宋体" w:hAnsi="宋体" w:cs="Arial"/>
          <w:bCs/>
          <w:shd w:val="clear" w:color="auto" w:fill="FFFFFF"/>
        </w:rPr>
        <w:t>教学中应利用各种教学用具</w:t>
      </w:r>
      <w:r>
        <w:rPr>
          <w:rFonts w:ascii="宋体" w:hAnsi="宋体" w:cs="Arial"/>
          <w:bCs/>
          <w:shd w:val="clear" w:color="auto" w:fill="FFFFFF"/>
        </w:rPr>
        <w:t>建立晶体组成的空间"三维构型"的模型有利于强化对晶体的结构认识。</w:t>
      </w:r>
    </w:p>
    <w:p>
      <w:pPr>
        <w:numPr>
          <w:ilvl w:val="0"/>
          <w:numId w:val="1"/>
        </w:numPr>
        <w:adjustRightInd w:val="0"/>
        <w:snapToGrid w:val="0"/>
        <w:rPr>
          <w:rFonts w:hint="eastAsia" w:ascii="宋体" w:hAnsi="宋体"/>
          <w:bCs/>
          <w:sz w:val="24"/>
        </w:rPr>
      </w:pPr>
      <w:r>
        <w:rPr>
          <w:rFonts w:hint="eastAsia" w:ascii="宋体" w:hAnsi="宋体"/>
          <w:bCs/>
          <w:sz w:val="24"/>
        </w:rPr>
        <w:t>立体空间模型在有机分子结构和性质的教学中的应用</w:t>
      </w:r>
    </w:p>
    <w:p>
      <w:pPr>
        <w:adjustRightInd w:val="0"/>
        <w:snapToGrid w:val="0"/>
        <w:ind w:firstLine="560"/>
        <w:rPr>
          <w:rFonts w:hint="eastAsia" w:ascii="宋体" w:hAnsi="宋体" w:cs="Arial"/>
          <w:bCs/>
          <w:sz w:val="24"/>
          <w:shd w:val="clear" w:color="auto" w:fill="FFFFFF"/>
        </w:rPr>
      </w:pPr>
      <w:r>
        <w:rPr>
          <w:rFonts w:hint="eastAsia" w:ascii="宋体" w:hAnsi="宋体" w:cs="Arial"/>
          <w:bCs/>
          <w:sz w:val="24"/>
          <w:shd w:val="clear" w:color="auto" w:fill="FFFFFF"/>
        </w:rPr>
        <w:t>有机化学分子立体结构是高中化学学习的难点。原因是有机化学分子的立体结构抽象，要求学生具备一定的空间想象能力和演绎推理能力，所以学生普遍反映有机化学的分子结构难学。</w:t>
      </w:r>
      <w:r>
        <w:rPr>
          <w:rFonts w:hint="eastAsia" w:ascii="宋体" w:hAnsi="宋体"/>
          <w:bCs/>
          <w:sz w:val="24"/>
        </w:rPr>
        <w:t>立体空间</w:t>
      </w:r>
      <w:r>
        <w:rPr>
          <w:rFonts w:ascii="宋体" w:hAnsi="宋体" w:cs="Arial"/>
          <w:bCs/>
          <w:sz w:val="24"/>
          <w:shd w:val="clear" w:color="auto" w:fill="FFFFFF"/>
        </w:rPr>
        <w:t>模型在有机化学学习中起着非常重要的作用，它能将抽象的有机分子结构形象化，有助于学生更好的掌握和理解有机分子结构，了解结构才能更清淅的掌握有机化合物的性质</w:t>
      </w:r>
      <w:r>
        <w:rPr>
          <w:rFonts w:hint="eastAsia" w:ascii="宋体" w:hAnsi="宋体" w:cs="Arial"/>
          <w:bCs/>
          <w:sz w:val="24"/>
          <w:shd w:val="clear" w:color="auto" w:fill="FFFFFF"/>
        </w:rPr>
        <w:t>。</w:t>
      </w:r>
    </w:p>
    <w:p>
      <w:pPr>
        <w:adjustRightInd w:val="0"/>
        <w:snapToGrid w:val="0"/>
        <w:ind w:firstLine="560"/>
        <w:rPr>
          <w:rFonts w:hint="eastAsia" w:ascii="宋体" w:hAnsi="宋体"/>
          <w:bCs/>
          <w:sz w:val="24"/>
        </w:rPr>
      </w:pPr>
      <w:r>
        <w:rPr>
          <w:rFonts w:hint="eastAsia" w:ascii="宋体" w:hAnsi="宋体" w:cs="Arial"/>
          <w:bCs/>
          <w:sz w:val="24"/>
          <w:shd w:val="clear" w:color="auto" w:fill="FFFFFF"/>
        </w:rPr>
        <w:t>例如在研究有机物空间结构，尤其是涉及到共线共面的问题时，必须得先掌握基础物质如甲烷，乙烯，乙炔，苯等的空间立体结构，这些</w:t>
      </w:r>
      <w:r>
        <w:rPr>
          <w:rFonts w:hint="eastAsia" w:ascii="宋体" w:hAnsi="宋体"/>
          <w:bCs/>
          <w:sz w:val="24"/>
        </w:rPr>
        <w:t>单凭教师的讲解，学生很难理解。如果教学中呈现以下模型：</w:t>
      </w:r>
    </w:p>
    <w:p>
      <w:pPr>
        <w:adjustRightInd w:val="0"/>
        <w:snapToGrid w:val="0"/>
        <w:ind w:firstLine="560"/>
        <w:rPr>
          <w:rFonts w:ascii="宋体" w:hAnsi="宋体"/>
          <w:sz w:val="24"/>
        </w:rPr>
      </w:pPr>
      <w:r>
        <w:rPr>
          <w:rFonts w:hint="eastAsia" w:ascii="宋体" w:hAnsi="宋体"/>
          <w:sz w:val="24"/>
        </w:rPr>
        <w:t>1</w:t>
      </w:r>
      <w:r>
        <w:rPr>
          <w:rFonts w:ascii="宋体" w:hAnsi="宋体"/>
          <w:color w:val="auto"/>
          <w:sz w:val="24"/>
          <w:u w:val="none"/>
        </w:rPr>
        <w:drawing>
          <wp:inline distT="0" distB="0" distL="114300" distR="114300">
            <wp:extent cx="1057275" cy="941705"/>
            <wp:effectExtent l="0" t="0" r="9525" b="10795"/>
            <wp:docPr id="3" name="图片 3" descr="27860822103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78608221032"/>
                    <pic:cNvPicPr>
                      <a:picLocks noChangeAspect="1"/>
                    </pic:cNvPicPr>
                  </pic:nvPicPr>
                  <pic:blipFill>
                    <a:blip r:embed="rId7"/>
                    <a:srcRect t="4401" b="5029"/>
                    <a:stretch>
                      <a:fillRect/>
                    </a:stretch>
                  </pic:blipFill>
                  <pic:spPr>
                    <a:xfrm>
                      <a:off x="0" y="0"/>
                      <a:ext cx="1057275" cy="941705"/>
                    </a:xfrm>
                    <a:prstGeom prst="rect">
                      <a:avLst/>
                    </a:prstGeom>
                    <a:noFill/>
                    <a:ln>
                      <a:noFill/>
                    </a:ln>
                  </pic:spPr>
                </pic:pic>
              </a:graphicData>
            </a:graphic>
          </wp:inline>
        </w:drawing>
      </w:r>
      <w:r>
        <w:rPr>
          <w:rFonts w:ascii="宋体" w:hAnsi="宋体"/>
          <w:color w:val="auto"/>
          <w:sz w:val="24"/>
          <w:u w:val="none"/>
        </w:rPr>
        <w:drawing>
          <wp:inline distT="0" distB="0" distL="114300" distR="114300">
            <wp:extent cx="1026795" cy="941705"/>
            <wp:effectExtent l="0" t="0" r="1905" b="10795"/>
            <wp:docPr id="2" name="图片 4" descr="28962717648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289627176483"/>
                    <pic:cNvPicPr>
                      <a:picLocks noChangeAspect="1"/>
                    </pic:cNvPicPr>
                  </pic:nvPicPr>
                  <pic:blipFill>
                    <a:blip r:embed="rId9"/>
                    <a:srcRect t="4401" b="5029"/>
                    <a:stretch>
                      <a:fillRect/>
                    </a:stretch>
                  </pic:blipFill>
                  <pic:spPr>
                    <a:xfrm>
                      <a:off x="0" y="0"/>
                      <a:ext cx="1026795" cy="941705"/>
                    </a:xfrm>
                    <a:prstGeom prst="rect">
                      <a:avLst/>
                    </a:prstGeom>
                    <a:noFill/>
                    <a:ln>
                      <a:noFill/>
                    </a:ln>
                  </pic:spPr>
                </pic:pic>
              </a:graphicData>
            </a:graphic>
          </wp:inline>
        </w:drawing>
      </w:r>
      <w:r>
        <w:rPr>
          <w:rFonts w:ascii="宋体" w:hAnsi="宋体"/>
          <w:color w:val="auto"/>
          <w:sz w:val="24"/>
          <w:u w:val="none"/>
        </w:rPr>
        <w:drawing>
          <wp:inline distT="0" distB="0" distL="114300" distR="114300">
            <wp:extent cx="1029335" cy="920115"/>
            <wp:effectExtent l="0" t="0" r="18415" b="13335"/>
            <wp:docPr id="4" name="图片 5" descr="2957699589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29576995898"/>
                    <pic:cNvPicPr>
                      <a:picLocks noChangeAspect="1"/>
                    </pic:cNvPicPr>
                  </pic:nvPicPr>
                  <pic:blipFill>
                    <a:blip r:embed="rId11"/>
                    <a:srcRect t="12750" b="9743"/>
                    <a:stretch>
                      <a:fillRect/>
                    </a:stretch>
                  </pic:blipFill>
                  <pic:spPr>
                    <a:xfrm>
                      <a:off x="0" y="0"/>
                      <a:ext cx="1029335" cy="920115"/>
                    </a:xfrm>
                    <a:prstGeom prst="rect">
                      <a:avLst/>
                    </a:prstGeom>
                    <a:noFill/>
                    <a:ln>
                      <a:noFill/>
                    </a:ln>
                  </pic:spPr>
                </pic:pic>
              </a:graphicData>
            </a:graphic>
          </wp:inline>
        </w:drawing>
      </w:r>
      <w:r>
        <w:rPr>
          <w:rFonts w:ascii="宋体" w:hAnsi="宋体"/>
          <w:color w:val="auto"/>
          <w:sz w:val="24"/>
          <w:u w:val="none"/>
        </w:rPr>
        <w:drawing>
          <wp:inline distT="0" distB="0" distL="114300" distR="114300">
            <wp:extent cx="1336675" cy="1118870"/>
            <wp:effectExtent l="0" t="0" r="0" b="0"/>
            <wp:docPr id="1" name="图片 6" descr="27720_763840594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27720_76384059412"/>
                    <pic:cNvPicPr>
                      <a:picLocks noChangeAspect="1"/>
                    </pic:cNvPicPr>
                  </pic:nvPicPr>
                  <pic:blipFill>
                    <a:blip r:embed="rId13">
                      <a:clrChange>
                        <a:clrFrom>
                          <a:srgbClr val="F2F5FA"/>
                        </a:clrFrom>
                        <a:clrTo>
                          <a:srgbClr val="F2F5FA">
                            <a:alpha val="0"/>
                          </a:srgbClr>
                        </a:clrTo>
                      </a:clrChange>
                    </a:blip>
                    <a:stretch>
                      <a:fillRect/>
                    </a:stretch>
                  </pic:blipFill>
                  <pic:spPr>
                    <a:xfrm>
                      <a:off x="0" y="0"/>
                      <a:ext cx="1336675" cy="1118870"/>
                    </a:xfrm>
                    <a:prstGeom prst="rect">
                      <a:avLst/>
                    </a:prstGeom>
                    <a:noFill/>
                    <a:ln>
                      <a:noFill/>
                    </a:ln>
                  </pic:spPr>
                </pic:pic>
              </a:graphicData>
            </a:graphic>
          </wp:inline>
        </w:drawing>
      </w:r>
    </w:p>
    <w:p>
      <w:pPr>
        <w:adjustRightInd w:val="0"/>
        <w:snapToGrid w:val="0"/>
        <w:ind w:firstLine="560"/>
        <w:rPr>
          <w:rFonts w:hint="eastAsia" w:ascii="宋体" w:hAnsi="宋体"/>
          <w:bCs/>
          <w:sz w:val="24"/>
        </w:rPr>
      </w:pPr>
      <w:r>
        <w:rPr>
          <w:rFonts w:hint="eastAsia" w:ascii="宋体" w:hAnsi="宋体"/>
          <w:bCs/>
          <w:sz w:val="24"/>
        </w:rPr>
        <w:t>学生就能轻易判断甲烷立体结构，乙烯、苯平面结构，乙炔直线结构。同时学生还能通过这模型学会找有机物中同位氢原子，这些同位氢，是寻找氯代烃、醇、羧酸、酯的同分异构的基础。如二氯甲烷不存在同分异构体、苯的二元取代物的结构，邻、间、对三种结构且苯的邻二氯代物不存在同分异构体。</w:t>
      </w:r>
    </w:p>
    <w:p>
      <w:pPr>
        <w:adjustRightInd w:val="0"/>
        <w:snapToGrid w:val="0"/>
        <w:ind w:firstLine="560"/>
        <w:rPr>
          <w:rFonts w:hint="eastAsia" w:ascii="宋体" w:hAnsi="宋体"/>
          <w:bCs/>
          <w:sz w:val="24"/>
        </w:rPr>
      </w:pPr>
      <w:r>
        <w:rPr>
          <w:rFonts w:hint="eastAsia" w:ascii="宋体" w:hAnsi="宋体"/>
          <w:bCs/>
          <w:sz w:val="24"/>
        </w:rPr>
        <w:t>有机化学反应中，学生对有机反应的原理、断键部位掌握不清楚，用立体空间模型进行演示，可以突破有机反应的断键部位和原理的问题。例如在乙醇的催化氧化反应的教学中，原理是羟基上的氢原子与与羟基相连的碳原子上的氢原子掉去，与氧气中的氧原子结合生成水，羟基中氧原子与碳原子形成碳氧双键。在教学中，让学生结合分子空间立体模型来判断“由醇到醛，如何断键最方便？</w:t>
      </w:r>
    </w:p>
    <w:p>
      <w:pPr>
        <w:adjustRightInd w:val="0"/>
        <w:snapToGrid w:val="0"/>
        <w:spacing w:line="216" w:lineRule="auto"/>
        <w:ind w:firstLine="480" w:firstLineChars="200"/>
        <w:rPr>
          <w:rFonts w:hint="eastAsia" w:ascii="宋体" w:hAnsi="宋体"/>
          <w:bCs/>
          <w:sz w:val="24"/>
        </w:rPr>
      </w:pPr>
      <w:r>
        <w:rPr>
          <w:rFonts w:hint="eastAsia" w:ascii="宋体" w:hAnsi="宋体"/>
          <w:bCs/>
          <w:sz w:val="24"/>
        </w:rPr>
        <w:t>总之，空间立体模型模型，在帮助学生认识有机物的结构，寻找有机物的</w:t>
      </w:r>
      <w:r>
        <w:rPr>
          <w:rFonts w:hint="eastAsia" w:ascii="宋体" w:hAnsi="宋体"/>
          <w:b/>
          <w:bCs/>
          <w:sz w:val="24"/>
        </w:rPr>
        <w:t>同</w:t>
      </w:r>
      <w:r>
        <w:rPr>
          <w:rFonts w:hint="eastAsia" w:ascii="宋体" w:hAnsi="宋体"/>
          <w:bCs/>
          <w:sz w:val="24"/>
        </w:rPr>
        <w:t>分异构体，分析有机化学反应断键部位及原理，书写有机化学反应方程式，推测有机化学反应类型等方面，帮助学生构建有机知识体系，具有很大的优势。</w:t>
      </w:r>
    </w:p>
    <w:p>
      <w:pPr>
        <w:adjustRightInd w:val="0"/>
        <w:snapToGrid w:val="0"/>
        <w:spacing w:line="216" w:lineRule="auto"/>
        <w:ind w:firstLine="720" w:firstLineChars="300"/>
        <w:rPr>
          <w:rFonts w:hint="eastAsia" w:ascii="宋体" w:hAnsi="宋体"/>
          <w:bCs/>
          <w:sz w:val="24"/>
        </w:rPr>
      </w:pPr>
      <w:r>
        <w:rPr>
          <w:rFonts w:hint="eastAsia" w:ascii="宋体" w:hAnsi="宋体"/>
          <w:bCs/>
          <w:sz w:val="24"/>
        </w:rPr>
        <w:t>当然，在利用空间立体模型教学过程中，除了教师向学生呈现，而更多的应该提供教学用具让学生自己在课堂上组装，这样对于知识的掌握更为有效。只要是合理科学的利用空间立体模型教学方法，能正确地反映客观事实，有效地帮助学生解决思维问题，都应该是可行的。</w:t>
      </w:r>
    </w:p>
    <w:p>
      <w:pPr>
        <w:adjustRightInd w:val="0"/>
        <w:snapToGrid w:val="0"/>
        <w:spacing w:line="216" w:lineRule="auto"/>
        <w:rPr>
          <w:rFonts w:hint="eastAsia" w:ascii="楷体_GB2312" w:hAnsi="宋体" w:eastAsia="楷体_GB2312" w:cs="宋体"/>
          <w:bCs/>
          <w:sz w:val="24"/>
        </w:rPr>
      </w:pPr>
      <w:r>
        <w:rPr>
          <w:rFonts w:hint="eastAsia" w:ascii="楷体_GB2312" w:hAnsi="宋体" w:eastAsia="楷体_GB2312" w:cs="宋体"/>
          <w:bCs/>
          <w:sz w:val="24"/>
        </w:rPr>
        <w:t>参考文献：</w:t>
      </w:r>
    </w:p>
    <w:p>
      <w:pPr>
        <w:adjustRightInd w:val="0"/>
        <w:snapToGrid w:val="0"/>
        <w:spacing w:line="216" w:lineRule="auto"/>
        <w:rPr>
          <w:rFonts w:hint="eastAsia" w:ascii="楷体_GB2312" w:hAnsi="宋体" w:eastAsia="楷体_GB2312" w:cs="宋体"/>
          <w:bCs/>
          <w:sz w:val="24"/>
        </w:rPr>
      </w:pPr>
      <w:r>
        <w:rPr>
          <w:rFonts w:hint="eastAsia" w:ascii="楷体_GB2312" w:hAnsi="宋体" w:eastAsia="楷体_GB2312" w:cs="宋体"/>
          <w:bCs/>
          <w:sz w:val="24"/>
        </w:rPr>
        <w:t>[1]郭吉军.以微观模型构建科学概念的教学尝试与思考[,J]教育教学研究.</w:t>
      </w:r>
    </w:p>
    <w:p>
      <w:pPr>
        <w:adjustRightInd w:val="0"/>
        <w:snapToGrid w:val="0"/>
        <w:spacing w:line="216" w:lineRule="auto"/>
        <w:rPr>
          <w:rFonts w:hint="eastAsia" w:ascii="楷体_GB2312" w:hAnsi="宋体" w:eastAsia="楷体_GB2312" w:cs="宋体"/>
          <w:bCs/>
          <w:sz w:val="24"/>
        </w:rPr>
      </w:pPr>
      <w:r>
        <w:rPr>
          <w:rFonts w:hint="eastAsia" w:ascii="楷体_GB2312" w:hAnsi="宋体" w:eastAsia="楷体_GB2312" w:cs="宋体"/>
          <w:bCs/>
          <w:sz w:val="24"/>
        </w:rPr>
        <w:t>[2] 冯国帅</w:t>
      </w:r>
      <w:r>
        <w:rPr>
          <w:rFonts w:hint="eastAsia" w:ascii="楷体_GB2312" w:hAnsi="宋体" w:eastAsia="楷体_GB2312" w:cs="宋体"/>
          <w:bCs/>
          <w:sz w:val="24"/>
          <w:vertAlign w:val="superscript"/>
        </w:rPr>
        <w:t>1,2</w:t>
      </w:r>
      <w:r>
        <w:rPr>
          <w:rFonts w:hint="eastAsia" w:ascii="楷体_GB2312" w:hAnsi="宋体" w:eastAsia="楷体_GB2312" w:cs="宋体"/>
          <w:bCs/>
          <w:sz w:val="24"/>
        </w:rPr>
        <w:t>孙德志.有机化学学习的“核武器”</w:t>
      </w:r>
    </w:p>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42C1B"/>
    <w:multiLevelType w:val="singleLevel"/>
    <w:tmpl w:val="5B342C1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77B22"/>
    <w:rsid w:val="0DD26ABE"/>
    <w:rsid w:val="75077B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jc w:val="left"/>
    </w:pPr>
    <w:rPr>
      <w:rFonts w:ascii="Calibri" w:hAnsi="Calibri"/>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hyperlink" Target="http://www.eku.cc/xzy/sctx/110939.htm" TargetMode="External"/><Relationship Id="rId7" Type="http://schemas.openxmlformats.org/officeDocument/2006/relationships/image" Target="media/image3.jpeg"/><Relationship Id="rId6" Type="http://schemas.openxmlformats.org/officeDocument/2006/relationships/hyperlink" Target="http://www.eku.cc/xzy/sctx/110978.htm" TargetMode="Externa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hyperlink" Target="http://www.eku.cc/xzy/sctx/180374.htm" TargetMode="External"/><Relationship Id="rId11" Type="http://schemas.openxmlformats.org/officeDocument/2006/relationships/image" Target="media/image5.jpeg"/><Relationship Id="rId10" Type="http://schemas.openxmlformats.org/officeDocument/2006/relationships/hyperlink" Target="http://www.eku.cc/xzy/sctx/110893.htm"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2019-05-30T02:43:00Z</dcterms:created>
  <dc:creator>花开花落</dc:creator>
  <cp:lastModifiedBy>花开花落</cp:lastModifiedBy>
  <dcterms:modified xsi:type="dcterms:W3CDTF">2019-05-30T08:57:49Z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